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80" w:rsidRDefault="00853680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D7359F">
        <w:rPr>
          <w:sz w:val="28"/>
          <w:szCs w:val="28"/>
        </w:rPr>
        <w:t>21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D7359F">
        <w:rPr>
          <w:sz w:val="28"/>
          <w:szCs w:val="28"/>
        </w:rPr>
        <w:t xml:space="preserve">февраля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D7359F">
        <w:rPr>
          <w:sz w:val="28"/>
          <w:szCs w:val="28"/>
        </w:rPr>
        <w:t>138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AE2470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Строку паспорта муниципальной программы </w:t>
      </w:r>
      <w:r w:rsidR="00AE2470">
        <w:rPr>
          <w:sz w:val="28"/>
          <w:szCs w:val="28"/>
        </w:rPr>
        <w:t>«Целевые индикаторы и показатели программы» изложить в следующей  редакции:</w:t>
      </w:r>
    </w:p>
    <w:p w:rsidR="00AE2470" w:rsidRDefault="00AE2470" w:rsidP="00AE2470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AE2470" w:rsidRPr="00152D70" w:rsidTr="00AE2470">
        <w:trPr>
          <w:trHeight w:val="416"/>
        </w:trPr>
        <w:tc>
          <w:tcPr>
            <w:tcW w:w="2694" w:type="dxa"/>
          </w:tcPr>
          <w:p w:rsidR="00AE2470" w:rsidRPr="00152D70" w:rsidRDefault="00AE2470" w:rsidP="00AE2470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804" w:type="dxa"/>
          </w:tcPr>
          <w:p w:rsidR="00BF01AB" w:rsidRPr="00BF01AB" w:rsidRDefault="00BF01AB" w:rsidP="00BF01AB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BF01AB" w:rsidRPr="00BF01AB" w:rsidRDefault="00BF01AB" w:rsidP="00BF01AB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BF01AB" w:rsidRPr="00BF01AB" w:rsidRDefault="00BF01AB" w:rsidP="00BF01AB">
            <w:pPr>
              <w:rPr>
                <w:color w:val="000000"/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BF01AB" w:rsidRP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color w:val="000000"/>
                <w:sz w:val="28"/>
                <w:szCs w:val="28"/>
              </w:rPr>
              <w:t xml:space="preserve">4. Доля жилого фонда, оборудованного водопроводом. </w:t>
            </w:r>
          </w:p>
          <w:p w:rsidR="00BF01AB" w:rsidRP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4D5ED0" w:rsidRPr="00BF01AB" w:rsidRDefault="004D5ED0" w:rsidP="004D5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BF01AB"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отходов».</w:t>
            </w:r>
          </w:p>
          <w:p w:rsidR="004D5ED0" w:rsidRP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BF01AB">
              <w:rPr>
                <w:sz w:val="28"/>
                <w:szCs w:val="28"/>
              </w:rPr>
              <w:t>Доля населения, обеспеченного качественной питьевой водой из систем централизованного водоснабжения.</w:t>
            </w:r>
          </w:p>
          <w:p w:rsid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F01AB" w:rsidRPr="00BF01AB">
              <w:rPr>
                <w:sz w:val="28"/>
                <w:szCs w:val="28"/>
              </w:rPr>
              <w:t xml:space="preserve">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4D5ED0" w:rsidRP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BF01AB" w:rsidRPr="00BF01AB" w:rsidRDefault="004D5ED0" w:rsidP="004D5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BF01AB" w:rsidRPr="00BF01AB">
              <w:rPr>
                <w:sz w:val="28"/>
                <w:szCs w:val="28"/>
              </w:rPr>
              <w:t xml:space="preserve"> Доля котельных муниципальной собственности работающих на природном газе.</w:t>
            </w:r>
          </w:p>
          <w:p w:rsidR="00AE2470" w:rsidRPr="00152D70" w:rsidRDefault="00AE2470" w:rsidP="00AE2470">
            <w:pPr>
              <w:rPr>
                <w:sz w:val="28"/>
                <w:szCs w:val="28"/>
              </w:rPr>
            </w:pPr>
          </w:p>
        </w:tc>
      </w:tr>
    </w:tbl>
    <w:p w:rsidR="00AE2470" w:rsidRDefault="00AE2470" w:rsidP="00AE2470">
      <w:pPr>
        <w:pStyle w:val="a5"/>
        <w:spacing w:line="360" w:lineRule="auto"/>
        <w:ind w:left="1134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2470" w:rsidRDefault="00122AB3" w:rsidP="00AE2470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</w:t>
            </w:r>
            <w:r w:rsidRPr="00152D70">
              <w:rPr>
                <w:sz w:val="28"/>
                <w:szCs w:val="28"/>
              </w:rPr>
              <w:lastRenderedPageBreak/>
              <w:t>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80 950,66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63 023,85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21 085,58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27 662,60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4 871,11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6 362,60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lastRenderedPageBreak/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39 353,97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30 780,29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3076,37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2 069,50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2 069,50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AE2470" w:rsidRDefault="00122AB3" w:rsidP="00AE2470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паспорта муниципальной программы </w:t>
      </w:r>
      <w:r w:rsidR="00AE2470">
        <w:rPr>
          <w:sz w:val="28"/>
          <w:szCs w:val="28"/>
        </w:rPr>
        <w:t>«Ожидаемые результаты реализации программы»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AE2470" w:rsidRPr="00152D70" w:rsidTr="00AE2470">
        <w:trPr>
          <w:trHeight w:val="567"/>
        </w:trPr>
        <w:tc>
          <w:tcPr>
            <w:tcW w:w="2694" w:type="dxa"/>
          </w:tcPr>
          <w:p w:rsidR="00AE2470" w:rsidRPr="00152D70" w:rsidRDefault="00AE2470" w:rsidP="00AE2470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450D3B" w:rsidRPr="00450D3B" w:rsidRDefault="00450D3B" w:rsidP="00450D3B">
            <w:pPr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Успешное выполнение программы  позволит: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-Улучшить свои жилищные условия при ока</w:t>
            </w:r>
            <w:r w:rsidR="00B30B1D">
              <w:rPr>
                <w:color w:val="000000"/>
                <w:sz w:val="28"/>
                <w:szCs w:val="28"/>
              </w:rPr>
              <w:t xml:space="preserve">зании муниципальной  поддержки </w:t>
            </w:r>
            <w:r w:rsidR="003A46C4">
              <w:rPr>
                <w:color w:val="000000"/>
                <w:sz w:val="28"/>
                <w:szCs w:val="28"/>
              </w:rPr>
              <w:t>более 70</w:t>
            </w:r>
            <w:r w:rsidRPr="00450D3B">
              <w:rPr>
                <w:color w:val="000000"/>
                <w:sz w:val="28"/>
                <w:szCs w:val="28"/>
              </w:rPr>
              <w:t xml:space="preserve"> молодой семьи; 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эксплуатационный подвижной состава автобусного парка </w:t>
            </w:r>
            <w:r w:rsidRPr="00450D3B">
              <w:rPr>
                <w:sz w:val="28"/>
                <w:szCs w:val="28"/>
              </w:rPr>
              <w:t>до 12</w:t>
            </w:r>
            <w:r w:rsidRPr="00450D3B">
              <w:rPr>
                <w:color w:val="000000"/>
                <w:sz w:val="28"/>
                <w:szCs w:val="28"/>
              </w:rPr>
              <w:t xml:space="preserve"> ед. </w:t>
            </w:r>
          </w:p>
          <w:p w:rsidR="00450D3B" w:rsidRPr="00450D3B" w:rsidRDefault="00450D3B" w:rsidP="00450D3B">
            <w:pPr>
              <w:jc w:val="both"/>
              <w:rPr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450D3B" w:rsidRPr="00450D3B" w:rsidRDefault="00450D3B" w:rsidP="00450D3B">
            <w:pPr>
              <w:jc w:val="both"/>
              <w:rPr>
                <w:sz w:val="28"/>
                <w:szCs w:val="28"/>
              </w:rPr>
            </w:pPr>
            <w:r w:rsidRPr="00450D3B">
              <w:rPr>
                <w:sz w:val="28"/>
                <w:szCs w:val="28"/>
              </w:rPr>
              <w:t>-Увеличить долю жилого фонда оборудованного центральным водопроводом  к 2026 г. до 59,76%;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450D3B">
              <w:rPr>
                <w:sz w:val="28"/>
                <w:szCs w:val="28"/>
              </w:rPr>
              <w:t xml:space="preserve">2 </w:t>
            </w:r>
            <w:r w:rsidRPr="00450D3B">
              <w:rPr>
                <w:color w:val="000000"/>
                <w:sz w:val="28"/>
                <w:szCs w:val="28"/>
              </w:rPr>
              <w:t>единицы;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-Построить полигон ТКО в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 xml:space="preserve"> Закупить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  <w:r w:rsidRPr="00450D3B">
              <w:rPr>
                <w:color w:val="000000"/>
                <w:sz w:val="28"/>
                <w:szCs w:val="28"/>
              </w:rPr>
              <w:t>в количестве 44</w:t>
            </w:r>
            <w:r>
              <w:rPr>
                <w:color w:val="000000"/>
                <w:sz w:val="28"/>
                <w:szCs w:val="28"/>
              </w:rPr>
              <w:t>2</w:t>
            </w:r>
            <w:r w:rsidRPr="00450D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>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-Ликвидировать 10 объектов несанкционированного размещения отходов;</w:t>
            </w:r>
          </w:p>
          <w:p w:rsid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-Увеличить долю населения, обеспеченного качественной питьевой водой из систем централизованного водоснабжения до 82,22 %;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-Содержать места накопления твердых коммунальных отходов на территории </w:t>
            </w:r>
            <w:r w:rsidR="0001132D">
              <w:rPr>
                <w:color w:val="000000"/>
                <w:sz w:val="28"/>
                <w:szCs w:val="28"/>
              </w:rPr>
              <w:t xml:space="preserve">16 </w:t>
            </w:r>
            <w:r>
              <w:rPr>
                <w:color w:val="000000"/>
                <w:sz w:val="28"/>
                <w:szCs w:val="28"/>
              </w:rPr>
              <w:t>сельских поселений Калачеевского муниципального района;</w:t>
            </w:r>
          </w:p>
          <w:p w:rsidR="00AE2470" w:rsidRPr="00152D70" w:rsidRDefault="00450D3B" w:rsidP="0001132D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-Построить три модульно-блочных транспортабельных котельных.</w:t>
            </w:r>
          </w:p>
        </w:tc>
      </w:tr>
    </w:tbl>
    <w:p w:rsidR="00AE2470" w:rsidRDefault="00AE2470" w:rsidP="00AE2470">
      <w:pPr>
        <w:pStyle w:val="a5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30B1D" w:rsidRDefault="00122AB3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1.1.4</w:t>
      </w:r>
      <w:r w:rsidR="00AE2470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="00B30B1D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122AB3">
        <w:rPr>
          <w:color w:val="000000" w:themeColor="text1"/>
          <w:sz w:val="28"/>
          <w:szCs w:val="28"/>
        </w:rPr>
        <w:t>«</w:t>
      </w:r>
      <w:r w:rsidR="00122AB3" w:rsidRPr="00122AB3">
        <w:rPr>
          <w:color w:val="000000" w:themeColor="text1"/>
          <w:sz w:val="28"/>
          <w:szCs w:val="28"/>
        </w:rPr>
        <w:t>2.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lastRenderedPageBreak/>
        <w:t>Улучшение качества жилищного фонда, повышение комфортности условий проживания.</w:t>
      </w:r>
    </w:p>
    <w:p w:rsidR="00B30B1D" w:rsidRPr="0001132D" w:rsidRDefault="00B30B1D" w:rsidP="0001132D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B30B1D" w:rsidRPr="0001132D" w:rsidRDefault="00B30B1D" w:rsidP="0001132D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благоприятных условий для привлечения инвестиций в сферу жилищного строительства.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B30B1D" w:rsidRPr="0001132D" w:rsidRDefault="00B30B1D" w:rsidP="0001132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как  необходимое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B30B1D" w:rsidRPr="0001132D" w:rsidRDefault="00B30B1D" w:rsidP="0001132D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обеспечения услугами ЖКХ: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 w:rsidR="0001132D">
        <w:rPr>
          <w:color w:val="000000"/>
          <w:sz w:val="28"/>
          <w:szCs w:val="28"/>
          <w:shd w:val="clear" w:color="auto" w:fill="FFFFFF"/>
        </w:rPr>
        <w:t>.</w:t>
      </w:r>
    </w:p>
    <w:p w:rsidR="0001132D" w:rsidRPr="0001132D" w:rsidRDefault="0001132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Содержание мест (площадок)накопления твердых коммунальных отходов на территории сельских поселений Калачеевского муниципального района.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B30B1D" w:rsidRPr="0001132D" w:rsidRDefault="00B30B1D" w:rsidP="0001132D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lastRenderedPageBreak/>
        <w:t>Повышение качества жизни и снижение затрат на оплату ЖКУ</w:t>
      </w:r>
    </w:p>
    <w:p w:rsidR="00B30B1D" w:rsidRPr="0001132D" w:rsidRDefault="00B30B1D" w:rsidP="0001132D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Целью Муниципальной  программы является: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 xml:space="preserve">Повышение качества жилищного обеспечения населения Калачеевского муниципального района путем повышения доступности жилья, роста качества и надежности предоставления  жилищно-коммунальных услуг. 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B30B1D" w:rsidRPr="0001132D" w:rsidRDefault="00B30B1D" w:rsidP="0001132D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B30B1D" w:rsidRPr="0001132D" w:rsidRDefault="00B30B1D" w:rsidP="0001132D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B30B1D" w:rsidRPr="0001132D" w:rsidRDefault="00B30B1D" w:rsidP="0001132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Учет  и экономия потребляемых энергоресурсов и финансовых средств по их оплате.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B30B1D" w:rsidRPr="0001132D" w:rsidRDefault="00B30B1D" w:rsidP="0001132D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B30B1D" w:rsidRPr="0001132D" w:rsidRDefault="00B30B1D" w:rsidP="0001132D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B30B1D" w:rsidRPr="0001132D" w:rsidRDefault="00B30B1D" w:rsidP="0001132D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B30B1D" w:rsidRPr="0001132D" w:rsidRDefault="00B30B1D" w:rsidP="0001132D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Состав показателей (индикаторов) реализации Муниципальной программы  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B30B1D" w:rsidRPr="0001132D" w:rsidTr="0001132D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B30B1D" w:rsidRPr="0001132D" w:rsidTr="0001132D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Повышение доступности жилья и качества жилищного обеспечения </w:t>
            </w:r>
            <w:r w:rsidRPr="0001132D">
              <w:rPr>
                <w:sz w:val="28"/>
                <w:szCs w:val="28"/>
              </w:rPr>
              <w:lastRenderedPageBreak/>
              <w:t>населения Калачеевского муниципального района, в том числе с учетом исполнения государственных обязательств по обеспечению жильем 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 xml:space="preserve">Количество молодых семей, которым выданы свидетельства на </w:t>
            </w:r>
            <w:r w:rsidRPr="0001132D">
              <w:rPr>
                <w:sz w:val="28"/>
                <w:szCs w:val="28"/>
              </w:rPr>
              <w:lastRenderedPageBreak/>
              <w:t>предоставление социальной выплаты.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программы.</w:t>
            </w:r>
          </w:p>
        </w:tc>
      </w:tr>
      <w:tr w:rsidR="00B30B1D" w:rsidRPr="0001132D" w:rsidTr="0001132D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сообщение.  </w:t>
            </w:r>
          </w:p>
        </w:tc>
      </w:tr>
      <w:tr w:rsidR="00B30B1D" w:rsidRPr="0001132D" w:rsidTr="0001132D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благоприятных условий проживания граждан  на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жилого фонда оборудованного центральным водопроводом.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B30B1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населения обеспеченного качественной питьевой водой из систем централизованного водоснабжения.</w:t>
            </w:r>
          </w:p>
          <w:p w:rsidR="0001132D" w:rsidRPr="0001132D" w:rsidRDefault="0001132D" w:rsidP="0001132D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</w:tc>
      </w:tr>
      <w:tr w:rsidR="00B30B1D" w:rsidRPr="0001132D" w:rsidTr="0001132D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</w:tc>
      </w:tr>
    </w:tbl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t>Основные ожидаемые конечные результаты муниципальной  программы.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lastRenderedPageBreak/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и  имеющих невысокий уровень доходов;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B30B1D" w:rsidRPr="0001132D" w:rsidRDefault="00B30B1D" w:rsidP="0001132D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B30B1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01132D" w:rsidRPr="0001132D" w:rsidRDefault="0001132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B30B1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 w:rsidR="0001132D">
        <w:rPr>
          <w:sz w:val="28"/>
          <w:szCs w:val="28"/>
        </w:rPr>
        <w:t>»</w:t>
      </w:r>
      <w:r w:rsidR="00122AB3">
        <w:rPr>
          <w:sz w:val="28"/>
          <w:szCs w:val="28"/>
        </w:rPr>
        <w:t>.</w:t>
      </w:r>
      <w:r w:rsidRPr="0001132D">
        <w:rPr>
          <w:sz w:val="28"/>
          <w:szCs w:val="28"/>
        </w:rPr>
        <w:t xml:space="preserve"> </w:t>
      </w:r>
    </w:p>
    <w:p w:rsidR="00840936" w:rsidRDefault="00122AB3" w:rsidP="0084093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</w:t>
      </w:r>
      <w:r w:rsidR="0084093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840936">
        <w:rPr>
          <w:sz w:val="28"/>
          <w:szCs w:val="28"/>
        </w:rPr>
        <w:t xml:space="preserve"> </w:t>
      </w:r>
      <w:r w:rsidR="009D4D9C">
        <w:rPr>
          <w:sz w:val="28"/>
          <w:szCs w:val="28"/>
        </w:rPr>
        <w:t>Р</w:t>
      </w:r>
      <w:r w:rsidR="00840936">
        <w:rPr>
          <w:sz w:val="28"/>
          <w:szCs w:val="28"/>
        </w:rPr>
        <w:t xml:space="preserve">аздел 4 муниципальной программы «Обобщенная характеристика основных мероприятий» </w:t>
      </w:r>
      <w:r w:rsidR="009D4D9C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мероприятием 3.7</w:t>
      </w:r>
      <w:r w:rsidR="009D4D9C">
        <w:rPr>
          <w:sz w:val="28"/>
          <w:szCs w:val="28"/>
        </w:rPr>
        <w:t xml:space="preserve"> следующего содержания:</w:t>
      </w:r>
    </w:p>
    <w:p w:rsidR="009D4D9C" w:rsidRDefault="009D4D9C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- Основное мероприятие 3.7. </w:t>
      </w:r>
      <w:r>
        <w:rPr>
          <w:sz w:val="28"/>
          <w:szCs w:val="28"/>
        </w:rPr>
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</w:r>
      <w:r w:rsidR="007E3CA0">
        <w:rPr>
          <w:sz w:val="28"/>
          <w:szCs w:val="28"/>
        </w:rPr>
        <w:t>.</w:t>
      </w:r>
    </w:p>
    <w:p w:rsidR="007E3CA0" w:rsidRDefault="007E3CA0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предусматривает содержание мест (площадок) накопления твердых коммунальных отходов на территории сельских поселений</w:t>
      </w:r>
      <w:r w:rsidR="00122AB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7E3CA0" w:rsidRDefault="007E3CA0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22AB3">
        <w:rPr>
          <w:sz w:val="28"/>
          <w:szCs w:val="28"/>
        </w:rPr>
        <w:t>6</w:t>
      </w:r>
      <w:r>
        <w:rPr>
          <w:sz w:val="28"/>
          <w:szCs w:val="28"/>
        </w:rPr>
        <w:t xml:space="preserve"> Раздел 6 муниципальной программы </w:t>
      </w:r>
      <w:r w:rsidR="00F16971">
        <w:rPr>
          <w:sz w:val="28"/>
          <w:szCs w:val="28"/>
        </w:rPr>
        <w:t>«Обобщенная характеристика основных мероприятий муниципальной программы, реализуемых муниципальными образованиями Калачеевского района» дополнить абзацем следующего содержания:</w:t>
      </w:r>
    </w:p>
    <w:p w:rsidR="00F16971" w:rsidRDefault="00F16971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«-содержание мест (площадок) накопления твердых коммунальных отходов на территории сельских поселений </w:t>
      </w:r>
      <w:r w:rsidR="00122AB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122AB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F67D2D" w:rsidRDefault="00F16971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E2470"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 w:rsidR="00F67D2D">
        <w:rPr>
          <w:color w:val="000000" w:themeColor="text1"/>
          <w:sz w:val="28"/>
          <w:szCs w:val="28"/>
        </w:rPr>
        <w:t>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AE2470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119 345,62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8 865,30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20 246,66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7 755,36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E2470" w:rsidRPr="007654D1" w:rsidRDefault="00F67D2D" w:rsidP="00F67D2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F67D2D" w:rsidRDefault="00F67D2D" w:rsidP="00F67D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</w:t>
      </w:r>
      <w:r w:rsidR="00122AB3">
        <w:rPr>
          <w:color w:val="000000" w:themeColor="text1"/>
          <w:sz w:val="28"/>
          <w:szCs w:val="28"/>
        </w:rPr>
        <w:t>2.</w:t>
      </w:r>
      <w:r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</w:t>
      </w:r>
      <w:r>
        <w:rPr>
          <w:color w:val="000000" w:themeColor="text1"/>
          <w:sz w:val="28"/>
          <w:szCs w:val="28"/>
        </w:rPr>
        <w:t>жидаемые непосредственные результаты реализации подпрограммы муниципальной программы»</w:t>
      </w:r>
      <w:r w:rsidRPr="00F16971">
        <w:rPr>
          <w:sz w:val="28"/>
          <w:szCs w:val="28"/>
        </w:rPr>
        <w:t xml:space="preserve"> изложить в следующей редакции:</w:t>
      </w:r>
    </w:p>
    <w:p w:rsidR="00F67D2D" w:rsidRDefault="00F67D2D" w:rsidP="00F67D2D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4857"/>
        <w:gridCol w:w="4856"/>
      </w:tblGrid>
      <w:tr w:rsidR="00F67D2D" w:rsidTr="00F67D2D">
        <w:tc>
          <w:tcPr>
            <w:tcW w:w="4857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856" w:type="dxa"/>
            <w:vAlign w:val="center"/>
          </w:tcPr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Успешное выполнение мероприятий подпрограммы позволит улучшить свои жилищные условия </w:t>
            </w:r>
            <w:r w:rsidR="003A46C4">
              <w:rPr>
                <w:sz w:val="28"/>
                <w:szCs w:val="28"/>
              </w:rPr>
              <w:t xml:space="preserve">более </w:t>
            </w:r>
            <w:r w:rsidR="00627BC6">
              <w:rPr>
                <w:sz w:val="28"/>
                <w:szCs w:val="28"/>
              </w:rPr>
              <w:t>70</w:t>
            </w:r>
            <w:r w:rsidRPr="00F67D2D">
              <w:rPr>
                <w:sz w:val="28"/>
                <w:szCs w:val="28"/>
              </w:rPr>
              <w:t xml:space="preserve"> молод</w:t>
            </w:r>
            <w:r w:rsidR="00627BC6">
              <w:rPr>
                <w:sz w:val="28"/>
                <w:szCs w:val="28"/>
              </w:rPr>
              <w:t>ых</w:t>
            </w:r>
            <w:r w:rsidRPr="00F67D2D">
              <w:rPr>
                <w:color w:val="000000"/>
                <w:sz w:val="28"/>
                <w:szCs w:val="28"/>
              </w:rPr>
              <w:t xml:space="preserve"> сем</w:t>
            </w:r>
            <w:r w:rsidR="00627BC6">
              <w:rPr>
                <w:color w:val="000000"/>
                <w:sz w:val="28"/>
                <w:szCs w:val="28"/>
              </w:rPr>
              <w:t>ей</w:t>
            </w:r>
            <w:r w:rsidRPr="00F67D2D">
              <w:rPr>
                <w:color w:val="000000"/>
                <w:sz w:val="28"/>
                <w:szCs w:val="28"/>
              </w:rPr>
              <w:t>, а также обеспечит: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-создание условий для повышения уровня обеспеченности жильем молодых семей;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-привлечение в жилищную сферу дополнительных финансовых средств банков и других организаций, предоставляющих ипотечные жилищные кредиты и займы, а также собственных средств граждан;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 укрепление семейных отношений и снижение социальной напряженности в обществе;</w:t>
            </w:r>
          </w:p>
          <w:p w:rsidR="00F67D2D" w:rsidRPr="003E6E8B" w:rsidRDefault="00F67D2D" w:rsidP="00F67D2D">
            <w:pPr>
              <w:jc w:val="both"/>
            </w:pPr>
            <w:r w:rsidRPr="00F67D2D">
              <w:rPr>
                <w:color w:val="000000"/>
                <w:sz w:val="28"/>
                <w:szCs w:val="28"/>
              </w:rPr>
              <w:t>-улучшение демографической ситуации в районе.</w:t>
            </w:r>
            <w:r w:rsidRPr="00190827">
              <w:rPr>
                <w:color w:val="000000"/>
              </w:rPr>
              <w:t xml:space="preserve"> </w:t>
            </w:r>
          </w:p>
        </w:tc>
      </w:tr>
    </w:tbl>
    <w:p w:rsidR="00F67D2D" w:rsidRPr="00627BC6" w:rsidRDefault="00627BC6" w:rsidP="00627BC6">
      <w:pPr>
        <w:widowControl w:val="0"/>
        <w:autoSpaceDE w:val="0"/>
        <w:autoSpaceDN w:val="0"/>
        <w:adjustRightInd w:val="0"/>
        <w:ind w:left="567"/>
        <w:jc w:val="right"/>
        <w:rPr>
          <w:sz w:val="28"/>
          <w:szCs w:val="28"/>
        </w:rPr>
      </w:pPr>
      <w:r w:rsidRPr="00627BC6">
        <w:rPr>
          <w:sz w:val="28"/>
          <w:szCs w:val="28"/>
        </w:rPr>
        <w:t>».</w:t>
      </w:r>
    </w:p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</w:t>
      </w:r>
      <w:r w:rsidR="00122AB3">
        <w:rPr>
          <w:rFonts w:ascii="Times New Roman" w:hAnsi="Times New Roman" w:cs="Times New Roman"/>
          <w:b w:val="0"/>
          <w:color w:val="000000" w:themeColor="text1"/>
          <w:lang w:eastAsia="ru-RU"/>
        </w:rPr>
        <w:t>3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В паспорте подпрограммы 2 «</w:t>
      </w:r>
      <w:r w:rsidR="00627BC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Развитие транспортной системы» </w:t>
      </w:r>
      <w:r w:rsidR="00122AB3">
        <w:rPr>
          <w:rFonts w:ascii="Times New Roman" w:hAnsi="Times New Roman" w:cs="Times New Roman"/>
          <w:b w:val="0"/>
          <w:color w:val="000000" w:themeColor="text1"/>
          <w:lang w:eastAsia="ru-RU"/>
        </w:rPr>
        <w:t>строку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AE2470" w:rsidRDefault="00AE2470" w:rsidP="00AE2470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AE2470" w:rsidRPr="007654D1" w:rsidTr="00627BC6">
        <w:tc>
          <w:tcPr>
            <w:tcW w:w="4394" w:type="dxa"/>
          </w:tcPr>
          <w:p w:rsidR="00AE2470" w:rsidRPr="007654D1" w:rsidRDefault="00AE2470" w:rsidP="00627BC6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AE2470" w:rsidRPr="007654D1" w:rsidRDefault="00AE2470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27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217,75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AE2470" w:rsidRPr="007654D1" w:rsidRDefault="00AE2470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 w:rsidR="00627BC6">
              <w:rPr>
                <w:rFonts w:ascii="Times New Roman" w:hAnsi="Times New Roman" w:cs="Times New Roman"/>
                <w:sz w:val="28"/>
                <w:szCs w:val="28"/>
              </w:rPr>
              <w:t xml:space="preserve"> 10 217,75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E2470" w:rsidRPr="007654D1" w:rsidRDefault="00AE2470" w:rsidP="00627BC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470" w:rsidRDefault="00AE2470" w:rsidP="00AE2470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4A141A" w:rsidRDefault="004A141A" w:rsidP="00AE247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 xml:space="preserve">1.4. В 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района»- далее подпрограмма 3</w:t>
      </w:r>
    </w:p>
    <w:p w:rsidR="00AE2470" w:rsidRDefault="00AE2470" w:rsidP="00AE247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 w:rsidR="004A141A">
        <w:rPr>
          <w:rFonts w:ascii="Times New Roman" w:hAnsi="Times New Roman" w:cs="Times New Roman"/>
          <w:b w:val="0"/>
          <w:lang w:eastAsia="ru-RU"/>
        </w:rPr>
        <w:t>4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 w:rsidR="004A141A">
        <w:rPr>
          <w:rFonts w:ascii="Times New Roman" w:hAnsi="Times New Roman" w:cs="Times New Roman"/>
          <w:b w:val="0"/>
          <w:lang w:eastAsia="ru-RU"/>
        </w:rPr>
        <w:t>1</w:t>
      </w:r>
      <w:r w:rsidR="00283E33">
        <w:rPr>
          <w:rFonts w:ascii="Times New Roman" w:hAnsi="Times New Roman" w:cs="Times New Roman"/>
          <w:b w:val="0"/>
          <w:lang w:eastAsia="ru-RU"/>
        </w:rPr>
        <w:t>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proofErr w:type="gramStart"/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Pr="00832753">
        <w:rPr>
          <w:rFonts w:ascii="Times New Roman" w:hAnsi="Times New Roman" w:cs="Times New Roman"/>
          <w:b w:val="0"/>
          <w:lang w:eastAsia="ru-RU"/>
        </w:rPr>
        <w:t>изложить</w:t>
      </w:r>
      <w:proofErr w:type="gramEnd"/>
      <w:r w:rsidRPr="00832753">
        <w:rPr>
          <w:rFonts w:ascii="Times New Roman" w:hAnsi="Times New Roman" w:cs="Times New Roman"/>
          <w:b w:val="0"/>
          <w:lang w:eastAsia="ru-RU"/>
        </w:rPr>
        <w:t xml:space="preserve">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AE2470" w:rsidRDefault="00AE2470" w:rsidP="00AE247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627BC6" w:rsidRPr="003E6E8B" w:rsidTr="00627BC6">
        <w:trPr>
          <w:trHeight w:val="385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11" w:type="dxa"/>
            <w:noWrap/>
          </w:tcPr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строительства, транспорта и ЖКХ администрации Калачеевского муниципального района Воронежской области.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по управлению муниципальным имуществом и земельным отношениям администрации Калачеевского муниципального района.</w:t>
            </w:r>
          </w:p>
        </w:tc>
      </w:tr>
      <w:tr w:rsidR="00627BC6" w:rsidRPr="0035349C" w:rsidTr="00627BC6">
        <w:trPr>
          <w:trHeight w:val="1125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F9533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hyperlink r:id="rId7" w:history="1">
              <w:r w:rsidR="00627BC6" w:rsidRPr="00627BC6">
                <w:rPr>
                  <w:sz w:val="28"/>
                  <w:szCs w:val="28"/>
                </w:rPr>
                <w:t>1</w:t>
              </w:r>
            </w:hyperlink>
            <w:r w:rsidR="00627BC6" w:rsidRPr="00627BC6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3.Проектирование и строительство полигона ТКО в </w:t>
            </w:r>
            <w:proofErr w:type="spellStart"/>
            <w:r w:rsidRPr="00627BC6">
              <w:rPr>
                <w:sz w:val="28"/>
                <w:szCs w:val="28"/>
              </w:rPr>
              <w:t>Калачеевском</w:t>
            </w:r>
            <w:proofErr w:type="spellEnd"/>
            <w:r w:rsidRPr="00627BC6">
              <w:rPr>
                <w:sz w:val="28"/>
                <w:szCs w:val="28"/>
              </w:rPr>
              <w:t xml:space="preserve"> муниципальном районе. 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27BC6">
              <w:rPr>
                <w:sz w:val="28"/>
                <w:szCs w:val="28"/>
              </w:rPr>
              <w:t xml:space="preserve">Ликвидация накопленного экологического ущерба, в том числе несанкционированного размещения отходов. 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5.  Региональный проект «Чистая вода». </w:t>
            </w:r>
          </w:p>
          <w:p w:rsid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6. Региональный проект «Комплексная система обращения с твердыми коммунальными отходами».</w:t>
            </w:r>
          </w:p>
          <w:p w:rsid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7.Содержание мест (площадок) накопления твердых коммунальных отходов на территории сельских поселений Калачеевского муниципального района.</w:t>
            </w:r>
          </w:p>
          <w:p w:rsidR="004E5E42" w:rsidRDefault="004E5E42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Создание муниципального теплоснабжающего предприятия.</w:t>
            </w:r>
          </w:p>
          <w:p w:rsidR="004E5E42" w:rsidRPr="00627BC6" w:rsidRDefault="004E5E42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Иные межбюджетные трансферты поселениям за счет средств из вышестоящих бюджетов.</w:t>
            </w:r>
          </w:p>
        </w:tc>
      </w:tr>
      <w:tr w:rsidR="00627BC6" w:rsidRPr="003E6E8B" w:rsidTr="00627BC6">
        <w:trPr>
          <w:trHeight w:val="750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F95336" w:rsidP="00627BC6">
            <w:pPr>
              <w:pStyle w:val="ConsPlusCell"/>
              <w:tabs>
                <w:tab w:val="left" w:pos="5845"/>
              </w:tabs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27BC6" w:rsidRPr="00627B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2.Обеспечение надлежащего санитарного состояния поселений Калачеевского муниципального района за счет обновления коммунальн</w:t>
            </w:r>
            <w:r w:rsidR="00850663">
              <w:rPr>
                <w:sz w:val="28"/>
                <w:szCs w:val="28"/>
              </w:rPr>
              <w:t>ой (специализированной) техники</w:t>
            </w:r>
            <w:r w:rsidRPr="00627BC6">
              <w:rPr>
                <w:sz w:val="28"/>
                <w:szCs w:val="28"/>
              </w:rPr>
              <w:t>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3.Создание безопасных и благоприятных условий проживания граждан на территории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4.Обеспечение населения Калачеевского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627BC6" w:rsidRPr="00CC4351" w:rsidTr="00627BC6">
        <w:trPr>
          <w:trHeight w:val="416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 xml:space="preserve">Задачи подпрограммы муниципальной программы 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-улучшение технической обеспеченности  поселений Калачеевского муниципального района;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</w:t>
            </w:r>
            <w:r w:rsidRPr="00627BC6">
              <w:rPr>
                <w:sz w:val="28"/>
                <w:szCs w:val="28"/>
              </w:rPr>
              <w:lastRenderedPageBreak/>
              <w:t>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-строительство полигона ТКО;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-ликвидация несанкционированного размещения отходов; </w:t>
            </w:r>
          </w:p>
          <w:p w:rsid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-приобретение </w:t>
            </w:r>
            <w:r w:rsidR="00850663">
              <w:rPr>
                <w:sz w:val="28"/>
                <w:szCs w:val="28"/>
              </w:rPr>
              <w:t>контейнеров для раздельного ТКО;</w:t>
            </w:r>
          </w:p>
          <w:p w:rsidR="00850663" w:rsidRPr="00627BC6" w:rsidRDefault="00850663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мест накопления ТКО на территории сельских поселений.</w:t>
            </w:r>
          </w:p>
        </w:tc>
      </w:tr>
      <w:tr w:rsidR="00627BC6" w:rsidRPr="00CC4351" w:rsidTr="00627BC6">
        <w:trPr>
          <w:trHeight w:val="557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1.Строительство и реконструкция системы водоснабжения и водоотведения.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3.Проектирование и строительство полигона ТКО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50663" w:rsidRPr="00627BC6" w:rsidRDefault="00850663" w:rsidP="00850663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Количество сельских поселений, на территории которых осущ</w:t>
            </w:r>
            <w:r w:rsidR="003A46C4">
              <w:rPr>
                <w:sz w:val="28"/>
                <w:szCs w:val="28"/>
              </w:rPr>
              <w:t>ествляется содержание мест (площ</w:t>
            </w:r>
            <w:r>
              <w:rPr>
                <w:sz w:val="28"/>
                <w:szCs w:val="28"/>
              </w:rPr>
              <w:t>адок) накопления твердых коммунальных отходов.</w:t>
            </w:r>
          </w:p>
        </w:tc>
      </w:tr>
      <w:tr w:rsidR="00627BC6" w:rsidRPr="003E6E8B" w:rsidTr="00627BC6">
        <w:trPr>
          <w:trHeight w:val="64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2020-2026 годы</w:t>
            </w:r>
          </w:p>
        </w:tc>
      </w:tr>
      <w:tr w:rsidR="00627BC6" w:rsidRPr="00CF5AB6" w:rsidTr="00627BC6">
        <w:trPr>
          <w:trHeight w:val="102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Всего – </w:t>
            </w:r>
            <w:r w:rsidR="00850663">
              <w:rPr>
                <w:sz w:val="28"/>
                <w:szCs w:val="28"/>
              </w:rPr>
              <w:t>39 353,97</w:t>
            </w:r>
            <w:r w:rsidRPr="00627BC6">
              <w:rPr>
                <w:sz w:val="28"/>
                <w:szCs w:val="28"/>
              </w:rPr>
              <w:t xml:space="preserve"> тыс. рублей;</w:t>
            </w:r>
          </w:p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федеральный бюджет – </w:t>
            </w:r>
            <w:r w:rsidR="00850663"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областной бюджет –</w:t>
            </w:r>
            <w:r w:rsidR="003C6532">
              <w:rPr>
                <w:sz w:val="28"/>
                <w:szCs w:val="28"/>
              </w:rPr>
              <w:t xml:space="preserve"> 30 780,29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627BC6" w:rsidRPr="00627BC6" w:rsidRDefault="00627BC6" w:rsidP="003C653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местный бюджет – </w:t>
            </w:r>
            <w:r w:rsidR="003C6532">
              <w:rPr>
                <w:sz w:val="28"/>
                <w:szCs w:val="28"/>
              </w:rPr>
              <w:t>3 076,37</w:t>
            </w:r>
            <w:r w:rsidR="00850663"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</w:tc>
      </w:tr>
      <w:tr w:rsidR="00627BC6" w:rsidRPr="00B4680B" w:rsidTr="00627BC6">
        <w:trPr>
          <w:trHeight w:val="7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Ожидаемые непосредственные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lastRenderedPageBreak/>
              <w:t xml:space="preserve">- повышение уровня технической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-реконструкция водопроводных сетей на территории Калачеевского муниципального района;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 w:rsidR="00850663"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850663" w:rsidRPr="00627BC6" w:rsidRDefault="00850663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накопления ТКО.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AE2470" w:rsidRDefault="00AE2470" w:rsidP="00E03833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4A141A">
        <w:rPr>
          <w:rFonts w:ascii="Times New Roman" w:hAnsi="Times New Roman" w:cs="Times New Roman"/>
          <w:b w:val="0"/>
          <w:lang w:eastAsia="ru-RU"/>
        </w:rPr>
        <w:t>4.2</w:t>
      </w:r>
      <w:r>
        <w:rPr>
          <w:rFonts w:ascii="Times New Roman" w:hAnsi="Times New Roman" w:cs="Times New Roman"/>
          <w:b w:val="0"/>
          <w:lang w:eastAsia="ru-RU"/>
        </w:rPr>
        <w:t xml:space="preserve">. </w:t>
      </w:r>
      <w:r w:rsidR="00BF05FB">
        <w:rPr>
          <w:rFonts w:ascii="Times New Roman" w:hAnsi="Times New Roman" w:cs="Times New Roman"/>
          <w:b w:val="0"/>
          <w:lang w:eastAsia="ru-RU"/>
        </w:rPr>
        <w:t>Р</w:t>
      </w:r>
      <w:r w:rsidR="00E03833">
        <w:rPr>
          <w:rFonts w:ascii="Times New Roman" w:hAnsi="Times New Roman" w:cs="Times New Roman"/>
          <w:b w:val="0"/>
          <w:lang w:eastAsia="ru-RU"/>
        </w:rPr>
        <w:t xml:space="preserve">аздел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</w:t>
      </w:r>
      <w:r w:rsidR="00370270">
        <w:rPr>
          <w:rFonts w:ascii="Times New Roman" w:hAnsi="Times New Roman" w:cs="Times New Roman"/>
          <w:b w:val="0"/>
          <w:lang w:eastAsia="ru-RU"/>
        </w:rPr>
        <w:t xml:space="preserve">реализации подпрограммы» </w:t>
      </w:r>
      <w:r w:rsidR="00BF05FB">
        <w:rPr>
          <w:rFonts w:ascii="Times New Roman" w:hAnsi="Times New Roman" w:cs="Times New Roman"/>
          <w:b w:val="0"/>
          <w:lang w:eastAsia="ru-RU"/>
        </w:rPr>
        <w:t xml:space="preserve">подпрограммы 3 </w:t>
      </w:r>
      <w:r w:rsidR="00370270">
        <w:rPr>
          <w:rFonts w:ascii="Times New Roman" w:hAnsi="Times New Roman" w:cs="Times New Roman"/>
          <w:b w:val="0"/>
          <w:lang w:eastAsia="ru-RU"/>
        </w:rPr>
        <w:t>дополнить</w:t>
      </w:r>
      <w:r w:rsidR="004A141A">
        <w:rPr>
          <w:rFonts w:ascii="Times New Roman" w:hAnsi="Times New Roman" w:cs="Times New Roman"/>
          <w:b w:val="0"/>
          <w:lang w:eastAsia="ru-RU"/>
        </w:rPr>
        <w:t xml:space="preserve"> абзацем </w:t>
      </w:r>
      <w:r w:rsidR="00370270">
        <w:rPr>
          <w:rFonts w:ascii="Times New Roman" w:hAnsi="Times New Roman" w:cs="Times New Roman"/>
          <w:b w:val="0"/>
          <w:lang w:eastAsia="ru-RU"/>
        </w:rPr>
        <w:t>следующим содержанием:</w:t>
      </w:r>
    </w:p>
    <w:p w:rsidR="00370270" w:rsidRDefault="00370270" w:rsidP="003702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«-содержание мест (площадок) накопления твердых коммунальных отходов на территории сельских поселений района.»</w:t>
      </w:r>
      <w:r w:rsidR="004A141A">
        <w:rPr>
          <w:rFonts w:ascii="Times New Roman" w:hAnsi="Times New Roman" w:cs="Times New Roman"/>
          <w:b w:val="0"/>
          <w:lang w:eastAsia="ru-RU"/>
        </w:rPr>
        <w:t>.</w:t>
      </w:r>
    </w:p>
    <w:p w:rsidR="004501A8" w:rsidRDefault="00370270" w:rsidP="003702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4A141A">
        <w:rPr>
          <w:rFonts w:ascii="Times New Roman" w:hAnsi="Times New Roman" w:cs="Times New Roman"/>
          <w:b w:val="0"/>
          <w:lang w:eastAsia="ru-RU"/>
        </w:rPr>
        <w:t>4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4A141A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 xml:space="preserve">. </w:t>
      </w:r>
      <w:r w:rsidR="004501A8">
        <w:rPr>
          <w:rFonts w:ascii="Times New Roman" w:hAnsi="Times New Roman" w:cs="Times New Roman"/>
          <w:b w:val="0"/>
          <w:lang w:eastAsia="ru-RU"/>
        </w:rPr>
        <w:t xml:space="preserve">Первый абзац 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>р</w:t>
      </w:r>
      <w:r w:rsidRPr="004501A8">
        <w:rPr>
          <w:rFonts w:ascii="Times New Roman" w:hAnsi="Times New Roman" w:cs="Times New Roman"/>
          <w:b w:val="0"/>
          <w:lang w:eastAsia="ru-RU"/>
        </w:rPr>
        <w:t>аздел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>а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 3</w:t>
      </w:r>
      <w:r w:rsidR="004A141A">
        <w:rPr>
          <w:rFonts w:ascii="Times New Roman" w:hAnsi="Times New Roman" w:cs="Times New Roman"/>
          <w:b w:val="0"/>
          <w:lang w:eastAsia="ru-RU"/>
        </w:rPr>
        <w:t xml:space="preserve"> 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«Характеристика основных мероприятий и мероприятий подпрограммы» </w:t>
      </w:r>
      <w:r w:rsidR="00BF05FB">
        <w:rPr>
          <w:rFonts w:ascii="Times New Roman" w:hAnsi="Times New Roman" w:cs="Times New Roman"/>
          <w:b w:val="0"/>
          <w:lang w:eastAsia="ru-RU"/>
        </w:rPr>
        <w:t>подпрограммы 3</w:t>
      </w:r>
      <w:r w:rsidR="00BF05FB" w:rsidRPr="004501A8">
        <w:rPr>
          <w:rFonts w:ascii="Times New Roman" w:hAnsi="Times New Roman" w:cs="Times New Roman"/>
          <w:b w:val="0"/>
          <w:lang w:eastAsia="ru-RU"/>
        </w:rPr>
        <w:t xml:space="preserve"> 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 xml:space="preserve">изложить в следующей редакции: </w:t>
      </w:r>
    </w:p>
    <w:p w:rsidR="004501A8" w:rsidRPr="004501A8" w:rsidRDefault="004501A8" w:rsidP="004501A8">
      <w:pPr>
        <w:ind w:left="567"/>
        <w:rPr>
          <w:sz w:val="28"/>
          <w:szCs w:val="28"/>
        </w:rPr>
      </w:pPr>
      <w:r w:rsidRPr="004501A8">
        <w:rPr>
          <w:sz w:val="28"/>
          <w:szCs w:val="28"/>
        </w:rPr>
        <w:t xml:space="preserve">      «Для достижения цели и задач Подпрограммы предусмотрена реализация </w:t>
      </w:r>
      <w:r>
        <w:rPr>
          <w:sz w:val="28"/>
          <w:szCs w:val="28"/>
        </w:rPr>
        <w:t>7</w:t>
      </w:r>
      <w:r w:rsidRPr="004501A8">
        <w:rPr>
          <w:sz w:val="28"/>
          <w:szCs w:val="28"/>
        </w:rPr>
        <w:t xml:space="preserve"> основных мероприятий:</w:t>
      </w:r>
    </w:p>
    <w:p w:rsidR="004501A8" w:rsidRPr="004501A8" w:rsidRDefault="004501A8" w:rsidP="004501A8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Развитие системы водоснабжения и водоотведения.</w:t>
      </w:r>
    </w:p>
    <w:p w:rsidR="004501A8" w:rsidRPr="004501A8" w:rsidRDefault="004501A8" w:rsidP="004501A8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Приобретение коммунальной техники.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Проектирование и строительство полигона ТКО в </w:t>
      </w:r>
      <w:proofErr w:type="spellStart"/>
      <w:r w:rsidRPr="004501A8">
        <w:rPr>
          <w:sz w:val="28"/>
          <w:szCs w:val="28"/>
        </w:rPr>
        <w:t>Калачеевском</w:t>
      </w:r>
      <w:proofErr w:type="spellEnd"/>
      <w:r w:rsidRPr="004501A8">
        <w:rPr>
          <w:sz w:val="28"/>
          <w:szCs w:val="28"/>
        </w:rPr>
        <w:t xml:space="preserve"> муниципальном  районе.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Ликвидация накопленного экологического ущерба, в том числе несанкционированного размещения отходов. 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«Чистая вода».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«Комплексная система обращения с твердыми коммунальными отходами».</w:t>
      </w:r>
    </w:p>
    <w:p w:rsidR="00370270" w:rsidRDefault="00370270" w:rsidP="004501A8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4501A8">
        <w:rPr>
          <w:rFonts w:ascii="Times New Roman" w:hAnsi="Times New Roman" w:cs="Times New Roman"/>
          <w:b w:val="0"/>
          <w:lang w:eastAsia="ru-RU"/>
        </w:rPr>
        <w:t>Содержание мест (площадок) накопления твердых коммунальных отходов на территории сельских поселений Калачеевского муниципального района.»</w:t>
      </w:r>
      <w:r w:rsidR="00BF05FB">
        <w:rPr>
          <w:rFonts w:ascii="Times New Roman" w:hAnsi="Times New Roman" w:cs="Times New Roman"/>
          <w:b w:val="0"/>
          <w:lang w:eastAsia="ru-RU"/>
        </w:rPr>
        <w:t>.</w:t>
      </w:r>
    </w:p>
    <w:p w:rsidR="004501A8" w:rsidRPr="00E63D85" w:rsidRDefault="004501A8" w:rsidP="004501A8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 xml:space="preserve">   </w:t>
      </w:r>
      <w:r w:rsidR="004A141A">
        <w:rPr>
          <w:rFonts w:ascii="Times New Roman" w:hAnsi="Times New Roman" w:cs="Times New Roman"/>
          <w:b w:val="0"/>
          <w:lang w:eastAsia="ru-RU"/>
        </w:rPr>
        <w:t xml:space="preserve">  1.4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4A141A">
        <w:rPr>
          <w:rFonts w:ascii="Times New Roman" w:hAnsi="Times New Roman" w:cs="Times New Roman"/>
          <w:b w:val="0"/>
          <w:lang w:eastAsia="ru-RU"/>
        </w:rPr>
        <w:t>4</w:t>
      </w:r>
      <w:r>
        <w:rPr>
          <w:rFonts w:ascii="Times New Roman" w:hAnsi="Times New Roman" w:cs="Times New Roman"/>
          <w:b w:val="0"/>
          <w:lang w:eastAsia="ru-RU"/>
        </w:rPr>
        <w:t>. Раздел 3</w:t>
      </w:r>
      <w:r w:rsidR="003C6532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«Характеристика основных мероприятий и мероприятий подпрограммы»</w:t>
      </w:r>
      <w:r w:rsidR="00BF05FB" w:rsidRPr="00BF05FB">
        <w:rPr>
          <w:rFonts w:ascii="Times New Roman" w:hAnsi="Times New Roman" w:cs="Times New Roman"/>
          <w:b w:val="0"/>
          <w:lang w:eastAsia="ru-RU"/>
        </w:rPr>
        <w:t xml:space="preserve"> </w:t>
      </w:r>
      <w:r w:rsidR="00BF05FB">
        <w:rPr>
          <w:rFonts w:ascii="Times New Roman" w:hAnsi="Times New Roman" w:cs="Times New Roman"/>
          <w:b w:val="0"/>
          <w:lang w:eastAsia="ru-RU"/>
        </w:rPr>
        <w:t xml:space="preserve">подпрограммы </w:t>
      </w:r>
      <w:proofErr w:type="gramStart"/>
      <w:r w:rsidR="00BF05FB">
        <w:rPr>
          <w:rFonts w:ascii="Times New Roman" w:hAnsi="Times New Roman" w:cs="Times New Roman"/>
          <w:b w:val="0"/>
          <w:lang w:eastAsia="ru-RU"/>
        </w:rPr>
        <w:t xml:space="preserve">3 </w:t>
      </w:r>
      <w:r>
        <w:rPr>
          <w:rFonts w:ascii="Times New Roman" w:hAnsi="Times New Roman" w:cs="Times New Roman"/>
          <w:b w:val="0"/>
          <w:lang w:eastAsia="ru-RU"/>
        </w:rPr>
        <w:t xml:space="preserve"> дополнить</w:t>
      </w:r>
      <w:proofErr w:type="gramEnd"/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="004A141A">
        <w:rPr>
          <w:rFonts w:ascii="Times New Roman" w:hAnsi="Times New Roman" w:cs="Times New Roman"/>
          <w:b w:val="0"/>
          <w:lang w:eastAsia="ru-RU"/>
        </w:rPr>
        <w:t>основным мероприятием 3.7</w:t>
      </w:r>
      <w:r w:rsidR="00BF05FB">
        <w:rPr>
          <w:rFonts w:ascii="Times New Roman" w:hAnsi="Times New Roman" w:cs="Times New Roman"/>
          <w:b w:val="0"/>
          <w:lang w:eastAsia="ru-RU"/>
        </w:rPr>
        <w:t xml:space="preserve"> следующего содержания </w:t>
      </w:r>
      <w:r w:rsidRPr="003C6532">
        <w:rPr>
          <w:rFonts w:ascii="Times New Roman" w:hAnsi="Times New Roman" w:cs="Times New Roman"/>
          <w:b w:val="0"/>
          <w:lang w:eastAsia="ru-RU"/>
        </w:rPr>
        <w:t>:</w:t>
      </w:r>
    </w:p>
    <w:p w:rsidR="004501A8" w:rsidRPr="00BF05FB" w:rsidRDefault="004501A8" w:rsidP="00BF05FB">
      <w:pPr>
        <w:spacing w:line="276" w:lineRule="auto"/>
        <w:ind w:left="567" w:firstLine="709"/>
        <w:jc w:val="both"/>
        <w:rPr>
          <w:b/>
        </w:rPr>
      </w:pPr>
      <w:r>
        <w:rPr>
          <w:b/>
        </w:rPr>
        <w:t>«</w:t>
      </w:r>
      <w:r w:rsidR="00BF05FB">
        <w:rPr>
          <w:b/>
        </w:rPr>
        <w:t xml:space="preserve"> </w:t>
      </w:r>
      <w:r w:rsidR="00E63D85" w:rsidRPr="00BF05FB">
        <w:rPr>
          <w:b/>
          <w:sz w:val="24"/>
          <w:szCs w:val="24"/>
        </w:rPr>
        <w:t>ОСНОВНОЕ МЕРОПРИЯТИЕ 3.7. СОДЕРЖАНИЕ МЕСТ (ПЛОЩАДОК) НАКОПЛЕНИЯ ТВЕРДЫХ КОММУНАЛЬНЫХ ОТХОДОВ НА ТЕРРИТОРИИ СЕЛЬСКИХ ПОСЕЛЕНИЙ КАЛАЧЕЕВСКОГО МУНИЦИПАЛЬНОГО РАЙОНА</w:t>
      </w:r>
    </w:p>
    <w:p w:rsidR="004501A8" w:rsidRDefault="004501A8" w:rsidP="00E63D85">
      <w:pPr>
        <w:spacing w:line="276" w:lineRule="auto"/>
        <w:ind w:left="567" w:firstLine="567"/>
        <w:rPr>
          <w:rFonts w:eastAsiaTheme="minorEastAsia"/>
          <w:b/>
          <w:i/>
          <w:sz w:val="24"/>
          <w:szCs w:val="24"/>
        </w:rPr>
      </w:pP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Реализация мероприятия по содержанию мест (площадок) накопления твердых коммунальных отходов на территории сельских поселений Калачеевского муниципального района предполагает содержание контейнерных площадок в ухоженном состоянии, позволяющем специализированной технике свободно подъехать к контейнерам.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E63D85">
        <w:rPr>
          <w:bCs/>
          <w:sz w:val="28"/>
          <w:szCs w:val="28"/>
        </w:rPr>
        <w:t>В связи с этим целями реализации мероприятия по</w:t>
      </w:r>
      <w:r w:rsidRPr="00E63D85">
        <w:rPr>
          <w:sz w:val="28"/>
          <w:szCs w:val="28"/>
        </w:rPr>
        <w:t xml:space="preserve"> </w:t>
      </w:r>
      <w:r w:rsidRPr="00E63D85">
        <w:rPr>
          <w:bCs/>
          <w:sz w:val="28"/>
          <w:szCs w:val="28"/>
        </w:rPr>
        <w:t>содержанию мест (площадок) накопления твердых коммунальных отходов, являются: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- обеспечение в зимний период очистки мест (площадок) накопления твердых коммунальных отходов от снега для обеспечения возможности подъезда специализированной техники к контейнерам;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- поддержание мест (площадок) накопления твердых коммунальных отходов в ухоженном состоянии, чистом от отходов, расположенных вне контейнеров, а также отходов, не относящихся к твердым коммунальным отходам, обкошенных от травяной растительности;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Мероприятия по содержанию мест (площадок) накопления твердых коммунальных отходов реализуются по следующим направлениям: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а) очистка от снега мест (площадок) накопления твердых коммунальных отходов;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б) очистка мест (площадок) накопления твердых коммунальных отходов от отходов, расположенных вне контейнеров, а также отходов, не относящихся к твердым коммунальным отходам;</w:t>
      </w:r>
    </w:p>
    <w:p w:rsidR="004501A8" w:rsidRPr="00E63D85" w:rsidRDefault="00E63D85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обкаш</w:t>
      </w:r>
      <w:r w:rsidR="004501A8" w:rsidRPr="00E63D85">
        <w:rPr>
          <w:sz w:val="28"/>
          <w:szCs w:val="28"/>
        </w:rPr>
        <w:t>ивание</w:t>
      </w:r>
      <w:proofErr w:type="spellEnd"/>
      <w:r w:rsidR="004501A8" w:rsidRPr="00E63D85">
        <w:rPr>
          <w:sz w:val="28"/>
          <w:szCs w:val="28"/>
        </w:rPr>
        <w:t xml:space="preserve"> мест (площадок) накопления твердых коммунальных отходов от травянистой растительности.</w:t>
      </w:r>
    </w:p>
    <w:p w:rsidR="00E63D85" w:rsidRPr="00E63D85" w:rsidRDefault="00E63D85" w:rsidP="00E63D85">
      <w:pPr>
        <w:spacing w:line="276" w:lineRule="auto"/>
        <w:ind w:left="567" w:firstLine="567"/>
        <w:rPr>
          <w:sz w:val="28"/>
          <w:szCs w:val="28"/>
        </w:rPr>
      </w:pPr>
      <w:r w:rsidRPr="00E63D85">
        <w:rPr>
          <w:sz w:val="28"/>
          <w:szCs w:val="28"/>
        </w:rPr>
        <w:t xml:space="preserve">Для осуществления оценки программных мероприятий предусматриваются следующие показатели (индикаторы), характеризующие решение задач подпрограммы (Приложение№1 к муниципальной Программе). </w:t>
      </w:r>
    </w:p>
    <w:p w:rsidR="00E63D85" w:rsidRDefault="00E63D85" w:rsidP="00E63D85">
      <w:pPr>
        <w:spacing w:line="276" w:lineRule="auto"/>
        <w:ind w:left="567" w:firstLine="567"/>
        <w:rPr>
          <w:sz w:val="28"/>
          <w:szCs w:val="28"/>
        </w:rPr>
      </w:pPr>
      <w:r w:rsidRPr="00E63D85">
        <w:rPr>
          <w:sz w:val="28"/>
          <w:szCs w:val="28"/>
        </w:rPr>
        <w:t>Срок реализации мероприятия 2022-2026 годы.</w:t>
      </w:r>
      <w:r>
        <w:rPr>
          <w:sz w:val="28"/>
          <w:szCs w:val="28"/>
        </w:rPr>
        <w:t>»</w:t>
      </w:r>
      <w:r w:rsidR="004A141A">
        <w:rPr>
          <w:sz w:val="28"/>
          <w:szCs w:val="28"/>
        </w:rPr>
        <w:t>.</w:t>
      </w:r>
    </w:p>
    <w:p w:rsidR="00AE2470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4A141A">
        <w:rPr>
          <w:rFonts w:ascii="Times New Roman" w:hAnsi="Times New Roman" w:cs="Times New Roman"/>
          <w:b w:val="0"/>
          <w:lang w:eastAsia="ru-RU"/>
        </w:rPr>
        <w:t>5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4A141A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</w:t>
      </w:r>
      <w:r w:rsidRPr="00DB7145">
        <w:rPr>
          <w:rFonts w:ascii="Times New Roman" w:hAnsi="Times New Roman"/>
          <w:b w:val="0"/>
        </w:rPr>
        <w:lastRenderedPageBreak/>
        <w:t>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4A141A">
        <w:rPr>
          <w:sz w:val="28"/>
          <w:szCs w:val="28"/>
        </w:rPr>
        <w:t>7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4A141A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  <w:bookmarkStart w:id="0" w:name="_GoBack"/>
      <w:bookmarkEnd w:id="0"/>
    </w:p>
    <w:sectPr w:rsidR="009C5113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C4A1C"/>
    <w:rsid w:val="001D6235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4E5E42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40936"/>
    <w:rsid w:val="00844F7C"/>
    <w:rsid w:val="00850663"/>
    <w:rsid w:val="00853680"/>
    <w:rsid w:val="008A0D31"/>
    <w:rsid w:val="009171D1"/>
    <w:rsid w:val="00965C6C"/>
    <w:rsid w:val="00972372"/>
    <w:rsid w:val="009C5113"/>
    <w:rsid w:val="009D2901"/>
    <w:rsid w:val="009D4D9C"/>
    <w:rsid w:val="00A12AA3"/>
    <w:rsid w:val="00AE2470"/>
    <w:rsid w:val="00AE2ACE"/>
    <w:rsid w:val="00B3008C"/>
    <w:rsid w:val="00B30B1D"/>
    <w:rsid w:val="00B47310"/>
    <w:rsid w:val="00B51194"/>
    <w:rsid w:val="00BA6EA9"/>
    <w:rsid w:val="00BF01AB"/>
    <w:rsid w:val="00BF05FB"/>
    <w:rsid w:val="00C01B52"/>
    <w:rsid w:val="00C32903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7359F"/>
    <w:rsid w:val="00D8178A"/>
    <w:rsid w:val="00DD5FBD"/>
    <w:rsid w:val="00E03833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3439"/>
    <w:rsid w:val="00F95336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59FB3-A656-4779-A69D-1F8AAFCC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5372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75</cp:revision>
  <cp:lastPrinted>2022-02-22T07:41:00Z</cp:lastPrinted>
  <dcterms:created xsi:type="dcterms:W3CDTF">2019-10-14T07:53:00Z</dcterms:created>
  <dcterms:modified xsi:type="dcterms:W3CDTF">2023-04-06T10:14:00Z</dcterms:modified>
</cp:coreProperties>
</file>