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448DFBEB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AE25CC">
        <w:rPr>
          <w:rStyle w:val="41"/>
          <w:color w:val="auto"/>
          <w:sz w:val="20"/>
          <w:szCs w:val="20"/>
          <w:lang w:eastAsia="ru-RU"/>
        </w:rPr>
        <w:t>10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AE25CC">
        <w:rPr>
          <w:rStyle w:val="41"/>
          <w:color w:val="auto"/>
          <w:sz w:val="20"/>
          <w:szCs w:val="20"/>
          <w:lang w:eastAsia="ru-RU"/>
        </w:rPr>
        <w:t>июля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  <w:r w:rsidR="00AE25CC">
        <w:rPr>
          <w:rStyle w:val="41"/>
          <w:color w:val="auto"/>
          <w:sz w:val="20"/>
          <w:szCs w:val="20"/>
          <w:lang w:eastAsia="ru-RU"/>
        </w:rPr>
        <w:t>583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DE13BBC" w:rsidR="00290D39" w:rsidRPr="008510DC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510DC" w:rsidRPr="008510DC">
              <w:rPr>
                <w:rFonts w:ascii="Times New Roman" w:hAnsi="Times New Roman"/>
                <w:bCs/>
                <w:sz w:val="20"/>
                <w:szCs w:val="20"/>
              </w:rPr>
              <w:t>57 673,90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157A563A" w:rsidR="0023163A" w:rsidRPr="008510DC" w:rsidRDefault="008510DC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430CDDC4" w:rsidR="0023163A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0D463FD0" w:rsidR="00CC58E1" w:rsidRPr="00A34DB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0EACF5AE" w:rsidR="00D10443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4 339,40</w:t>
            </w:r>
          </w:p>
          <w:p w14:paraId="1C59CCB6" w14:textId="4ACB5007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1554,40</w:t>
            </w:r>
          </w:p>
          <w:p w14:paraId="710FC8D9" w14:textId="1BAF093E" w:rsidR="00AF26D0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64254104" w:rsidR="0023163A" w:rsidRPr="00FB43A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15,10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5E735705" w:rsidR="0023163A" w:rsidRPr="00FB43A2" w:rsidRDefault="00DB4E8E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36244">
              <w:rPr>
                <w:rFonts w:ascii="Times New Roman" w:hAnsi="Times New Roman"/>
                <w:sz w:val="20"/>
                <w:szCs w:val="20"/>
              </w:rPr>
              <w:t>6 051,3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F27DA" w14:textId="07F0FECB" w:rsidR="00824D45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  <w:p w14:paraId="0CA66FE5" w14:textId="66F01D71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36B764E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A56BEB1" w14:textId="11830A28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38D72186" w:rsidR="00BB4185" w:rsidRPr="00304C5D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3 030,20</w:t>
            </w: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58BFDA66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07814D4F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DB4E8E">
              <w:rPr>
                <w:rFonts w:ascii="Times New Roman" w:hAnsi="Times New Roman"/>
                <w:sz w:val="20"/>
                <w:szCs w:val="20"/>
              </w:rPr>
              <w:t>3 453,7</w:t>
            </w:r>
            <w:r w:rsidR="00BB4185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B3A17EB" w14:textId="0D90CFD1" w:rsidR="00BB4185" w:rsidRPr="00FB43A2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95,30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7FE5EE1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24D1F9F1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596E504E" w:rsidR="00A326FC" w:rsidRPr="00304C5D" w:rsidRDefault="00DB4E8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5281185E" w:rsidR="00A326FC" w:rsidRPr="00BB4185" w:rsidRDefault="00E13C0C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BB4185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68 746,40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Калачеевскогомунципального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Сивирчукова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6185C203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9220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C47DD" w14:textId="0A98B5A4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A8B7CA0" w14:textId="16073424" w:rsidR="000376BF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DC47999" w14:textId="0067DC90" w:rsidR="000376BF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31BF538" w14:textId="7FFF662C" w:rsidR="000376BF" w:rsidRPr="00FB43A2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0E7B26DE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665,30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656445A8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 w:rsidR="0055240D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4A849E8B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1 008,30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36DEBCC4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>9 388,70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AC90B1" w14:textId="77777777" w:rsidR="00A326FC" w:rsidRDefault="004214F3" w:rsidP="004E760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6 051,6</w:t>
            </w:r>
            <w:r w:rsidR="0099682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 xml:space="preserve"> 283,10</w:t>
            </w:r>
          </w:p>
          <w:p w14:paraId="79A9DBD5" w14:textId="0BE4CE4C" w:rsidR="00ED1EC5" w:rsidRPr="00FB43A2" w:rsidRDefault="00ED1EC5" w:rsidP="004E760E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</w:t>
            </w:r>
            <w:r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3B020B4C" w:rsidR="00A326FC" w:rsidRPr="00FB43A2" w:rsidRDefault="00FC05A3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DB11EF">
              <w:rPr>
                <w:rFonts w:ascii="Times New Roman" w:hAnsi="Times New Roman"/>
                <w:sz w:val="20"/>
                <w:szCs w:val="20"/>
              </w:rPr>
              <w:t>83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769EDE2D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DB11EF">
              <w:rPr>
                <w:rFonts w:ascii="Times New Roman" w:hAnsi="Times New Roman"/>
                <w:sz w:val="20"/>
                <w:szCs w:val="20"/>
              </w:rPr>
              <w:t>60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1F27D5CB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27 092,40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 средств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518160A4" w14:textId="04E36661" w:rsidR="00361054" w:rsidRPr="00A10B5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6B655C67" w14:textId="5EBCE138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0A0FDFCE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26 772.00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A14CCE6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17 467,00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57B26143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9 305,00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587C" w14:textId="77777777" w:rsidR="000014B0" w:rsidRDefault="000014B0" w:rsidP="006F0544">
      <w:r>
        <w:separator/>
      </w:r>
    </w:p>
  </w:endnote>
  <w:endnote w:type="continuationSeparator" w:id="0">
    <w:p w14:paraId="474F1D0A" w14:textId="77777777" w:rsidR="000014B0" w:rsidRDefault="000014B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5189" w14:textId="77777777" w:rsidR="000014B0" w:rsidRDefault="000014B0" w:rsidP="006F0544">
      <w:r>
        <w:separator/>
      </w:r>
    </w:p>
  </w:footnote>
  <w:footnote w:type="continuationSeparator" w:id="0">
    <w:p w14:paraId="156F901B" w14:textId="77777777" w:rsidR="000014B0" w:rsidRDefault="000014B0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53</TotalTime>
  <Pages>1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11799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7</cp:revision>
  <cp:lastPrinted>2023-01-18T08:24:00Z</cp:lastPrinted>
  <dcterms:created xsi:type="dcterms:W3CDTF">2023-06-01T06:49:00Z</dcterms:created>
  <dcterms:modified xsi:type="dcterms:W3CDTF">2023-07-12T06:46:00Z</dcterms:modified>
</cp:coreProperties>
</file>