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C632D" w14:textId="1A022CD5" w:rsidR="00C2377B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Приложение №</w:t>
      </w:r>
      <w:r w:rsidR="00C2377B">
        <w:rPr>
          <w:b w:val="0"/>
          <w:sz w:val="24"/>
          <w:szCs w:val="24"/>
        </w:rPr>
        <w:t xml:space="preserve"> 9</w:t>
      </w:r>
    </w:p>
    <w:p w14:paraId="60A57902" w14:textId="77777777" w:rsidR="00FB3031" w:rsidRPr="00FB3031" w:rsidRDefault="00AF180A" w:rsidP="00CF57E5">
      <w:pPr>
        <w:pStyle w:val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</w:t>
      </w:r>
      <w:r w:rsidR="001247F1">
        <w:rPr>
          <w:b w:val="0"/>
          <w:sz w:val="24"/>
          <w:szCs w:val="24"/>
        </w:rPr>
        <w:t>е</w:t>
      </w:r>
      <w:r w:rsidR="00CF57E5" w:rsidRPr="00FB3031">
        <w:rPr>
          <w:b w:val="0"/>
          <w:sz w:val="24"/>
          <w:szCs w:val="24"/>
        </w:rPr>
        <w:t>шени</w:t>
      </w:r>
      <w:r>
        <w:rPr>
          <w:b w:val="0"/>
          <w:sz w:val="24"/>
          <w:szCs w:val="24"/>
        </w:rPr>
        <w:t>я</w:t>
      </w:r>
      <w:r w:rsidR="00CF57E5" w:rsidRPr="00FB3031">
        <w:rPr>
          <w:b w:val="0"/>
          <w:sz w:val="24"/>
          <w:szCs w:val="24"/>
        </w:rPr>
        <w:t xml:space="preserve"> Совета</w:t>
      </w:r>
      <w:r w:rsidR="003D24D5" w:rsidRPr="00FB3031">
        <w:rPr>
          <w:b w:val="0"/>
          <w:sz w:val="24"/>
          <w:szCs w:val="24"/>
        </w:rPr>
        <w:t xml:space="preserve"> </w:t>
      </w:r>
      <w:r w:rsidR="00CF57E5" w:rsidRPr="00FB3031">
        <w:rPr>
          <w:b w:val="0"/>
          <w:sz w:val="24"/>
          <w:szCs w:val="24"/>
        </w:rPr>
        <w:t>народных депутатов</w:t>
      </w:r>
    </w:p>
    <w:p w14:paraId="47201C64" w14:textId="77777777" w:rsidR="00CF57E5" w:rsidRPr="00FB3031" w:rsidRDefault="00FB3031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Калачеевского муниципального района</w:t>
      </w:r>
      <w:r w:rsidR="00CF57E5" w:rsidRPr="00FB3031">
        <w:rPr>
          <w:b w:val="0"/>
          <w:sz w:val="24"/>
          <w:szCs w:val="24"/>
        </w:rPr>
        <w:t xml:space="preserve"> </w:t>
      </w:r>
    </w:p>
    <w:p w14:paraId="35EDF9ED" w14:textId="3F7CAC0A" w:rsidR="00CF57E5" w:rsidRPr="00FB3031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>от «</w:t>
      </w:r>
      <w:r w:rsidR="007A0E87">
        <w:rPr>
          <w:b w:val="0"/>
          <w:sz w:val="24"/>
          <w:szCs w:val="24"/>
        </w:rPr>
        <w:t>26</w:t>
      </w:r>
      <w:r w:rsidRPr="00FB3031">
        <w:rPr>
          <w:b w:val="0"/>
          <w:sz w:val="24"/>
          <w:szCs w:val="24"/>
        </w:rPr>
        <w:t>»</w:t>
      </w:r>
      <w:r w:rsidR="00237D8B" w:rsidRPr="00FB3031">
        <w:rPr>
          <w:b w:val="0"/>
          <w:sz w:val="24"/>
          <w:szCs w:val="24"/>
        </w:rPr>
        <w:t xml:space="preserve"> </w:t>
      </w:r>
      <w:r w:rsidR="007A0E87">
        <w:rPr>
          <w:b w:val="0"/>
          <w:sz w:val="24"/>
          <w:szCs w:val="24"/>
        </w:rPr>
        <w:t>ноября</w:t>
      </w:r>
      <w:r w:rsidRPr="00FB3031">
        <w:rPr>
          <w:b w:val="0"/>
          <w:sz w:val="24"/>
          <w:szCs w:val="24"/>
        </w:rPr>
        <w:t xml:space="preserve"> 20</w:t>
      </w:r>
      <w:r w:rsidR="008B034A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4</w:t>
      </w:r>
      <w:r w:rsidRPr="00FB3031">
        <w:rPr>
          <w:b w:val="0"/>
          <w:sz w:val="24"/>
          <w:szCs w:val="24"/>
        </w:rPr>
        <w:t xml:space="preserve"> г. №</w:t>
      </w:r>
      <w:r w:rsidR="00811997">
        <w:rPr>
          <w:b w:val="0"/>
          <w:sz w:val="24"/>
          <w:szCs w:val="24"/>
        </w:rPr>
        <w:t xml:space="preserve"> </w:t>
      </w:r>
      <w:r w:rsidR="007A0E87">
        <w:rPr>
          <w:b w:val="0"/>
          <w:sz w:val="24"/>
          <w:szCs w:val="24"/>
        </w:rPr>
        <w:t>74</w:t>
      </w:r>
      <w:r w:rsidRPr="00FB3031">
        <w:rPr>
          <w:b w:val="0"/>
          <w:sz w:val="24"/>
          <w:szCs w:val="24"/>
        </w:rPr>
        <w:t xml:space="preserve"> </w:t>
      </w:r>
    </w:p>
    <w:p w14:paraId="0599CB86" w14:textId="477DBB1F" w:rsidR="00CF57E5" w:rsidRPr="00FB3031" w:rsidRDefault="00CF57E5" w:rsidP="00CF57E5">
      <w:pPr>
        <w:pStyle w:val="2"/>
        <w:jc w:val="right"/>
        <w:rPr>
          <w:b w:val="0"/>
          <w:sz w:val="24"/>
          <w:szCs w:val="24"/>
        </w:rPr>
      </w:pPr>
      <w:r w:rsidRPr="00FB3031">
        <w:rPr>
          <w:b w:val="0"/>
          <w:sz w:val="24"/>
          <w:szCs w:val="24"/>
        </w:rPr>
        <w:t xml:space="preserve">«О муниципальном </w:t>
      </w:r>
      <w:r w:rsidR="00E70D5E">
        <w:rPr>
          <w:b w:val="0"/>
          <w:sz w:val="24"/>
          <w:szCs w:val="24"/>
        </w:rPr>
        <w:t xml:space="preserve">бюджете </w:t>
      </w:r>
      <w:r w:rsidRPr="00FB3031">
        <w:rPr>
          <w:b w:val="0"/>
          <w:sz w:val="24"/>
          <w:szCs w:val="24"/>
        </w:rPr>
        <w:t>на 20</w:t>
      </w:r>
      <w:r w:rsidR="00E70D5E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5</w:t>
      </w:r>
      <w:r w:rsidRPr="00FB3031">
        <w:rPr>
          <w:b w:val="0"/>
          <w:sz w:val="24"/>
          <w:szCs w:val="24"/>
        </w:rPr>
        <w:t xml:space="preserve"> год и</w:t>
      </w:r>
    </w:p>
    <w:p w14:paraId="78217FA9" w14:textId="08C59DD1" w:rsidR="00CF57E5" w:rsidRPr="00FB3031" w:rsidRDefault="008B034A" w:rsidP="00F902BC">
      <w:pPr>
        <w:pStyle w:val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     </w:t>
      </w:r>
      <w:r w:rsidR="00CF57E5" w:rsidRPr="00FB3031">
        <w:rPr>
          <w:b w:val="0"/>
          <w:sz w:val="24"/>
          <w:szCs w:val="24"/>
        </w:rPr>
        <w:t>на плановый период 20</w:t>
      </w:r>
      <w:r w:rsidR="00FB3031" w:rsidRPr="00FB3031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6</w:t>
      </w:r>
      <w:r w:rsidR="00CF57E5" w:rsidRPr="00FB3031">
        <w:rPr>
          <w:b w:val="0"/>
          <w:sz w:val="24"/>
          <w:szCs w:val="24"/>
        </w:rPr>
        <w:t xml:space="preserve"> и 20</w:t>
      </w:r>
      <w:r w:rsidR="00814491" w:rsidRPr="00FB3031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7</w:t>
      </w:r>
      <w:r w:rsidR="00CF57E5" w:rsidRPr="00FB3031">
        <w:rPr>
          <w:b w:val="0"/>
          <w:sz w:val="24"/>
          <w:szCs w:val="24"/>
        </w:rPr>
        <w:t xml:space="preserve"> годов»</w:t>
      </w:r>
    </w:p>
    <w:p w14:paraId="382B6823" w14:textId="77777777"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7446D65C" w14:textId="77777777"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14:paraId="5C9A8AD8" w14:textId="77777777" w:rsidR="005370DA" w:rsidRPr="00485466" w:rsidRDefault="00CF57E5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ПОРЯДОК ПРЕДОСТАВЛЕНИЯ И РАСХОДОВАНИЯ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БЮДЖЕТАМ ПОСЕЛЕНИЙ КАЛАЧЕЕВСКОГО МУНИЦИПАЛЬНОГО РАЙОНА </w:t>
      </w:r>
    </w:p>
    <w:p w14:paraId="2FCD7163" w14:textId="77777777"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783B289" w14:textId="77777777"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НА</w:t>
      </w:r>
      <w:r w:rsidR="000C3420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</w:p>
    <w:p w14:paraId="12652E3B" w14:textId="77777777" w:rsidR="0020212E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AB35AB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Настоящий Порядок предоставления и расходования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 (далее-Порядок) устанавливает цели, условия предоставления и расходования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 поселений Калачеевского муниципального района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на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выполнение полномочий по </w:t>
      </w:r>
      <w:r w:rsidR="00FB3031" w:rsidRPr="00485466">
        <w:rPr>
          <w:rFonts w:ascii="Times New Roman" w:hAnsi="Times New Roman" w:cs="Times New Roman"/>
          <w:sz w:val="24"/>
          <w:szCs w:val="24"/>
        </w:rPr>
        <w:t>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), методику распределения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 порядок финансирования 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значения.</w:t>
      </w:r>
    </w:p>
    <w:p w14:paraId="1936CFB8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6CB7D37" w14:textId="77777777" w:rsidR="00CF57E5" w:rsidRPr="00485466" w:rsidRDefault="00CF57E5" w:rsidP="00906E69">
      <w:pPr>
        <w:pStyle w:val="ConsPlusNormal"/>
        <w:widowControl/>
        <w:numPr>
          <w:ilvl w:val="0"/>
          <w:numId w:val="2"/>
        </w:numPr>
        <w:tabs>
          <w:tab w:val="left" w:pos="0"/>
        </w:tabs>
        <w:ind w:left="0" w:firstLine="600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Цели предоставления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906E69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</w:t>
      </w:r>
      <w:r w:rsidR="00656C0C" w:rsidRPr="00485466">
        <w:rPr>
          <w:rFonts w:ascii="Times New Roman" w:hAnsi="Times New Roman" w:cs="Times New Roman"/>
          <w:sz w:val="24"/>
          <w:szCs w:val="24"/>
        </w:rPr>
        <w:t>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906E69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F89BD" w14:textId="1DCB6812" w:rsidR="00CF57E5" w:rsidRPr="00485466" w:rsidRDefault="00656C0C" w:rsidP="00906E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     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 </w:t>
      </w:r>
      <w:r w:rsidR="00FB3031" w:rsidRPr="00485466">
        <w:rPr>
          <w:rFonts w:ascii="Times New Roman" w:hAnsi="Times New Roman" w:cs="Times New Roman"/>
          <w:sz w:val="24"/>
          <w:szCs w:val="24"/>
        </w:rPr>
        <w:t>вопросов местного значения</w:t>
      </w:r>
      <w:r w:rsidR="00CF57E5" w:rsidRPr="00485466">
        <w:rPr>
          <w:rFonts w:ascii="Times New Roman" w:hAnsi="Times New Roman" w:cs="Times New Roman"/>
          <w:sz w:val="24"/>
          <w:szCs w:val="24"/>
        </w:rPr>
        <w:t xml:space="preserve"> предоставляются для финансового обеспечения исполнения расходных обязательств поселений Калачеевского муниципального района при недостатке доходов бюджетов поселений Калачеевского муниципального района в соответствии с методикой, указанной в пункте 3 настоящего Порядка.</w:t>
      </w:r>
    </w:p>
    <w:p w14:paraId="48A3DA92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104F4BF" w14:textId="77777777"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2. Услови</w:t>
      </w:r>
      <w:r w:rsidR="00656C0C" w:rsidRPr="00485466">
        <w:rPr>
          <w:rFonts w:ascii="Times New Roman" w:hAnsi="Times New Roman" w:cs="Times New Roman"/>
          <w:sz w:val="24"/>
          <w:szCs w:val="24"/>
        </w:rPr>
        <w:t>ем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является соблюдение органами местного самоуправления бюджетного законодательства Российской Федерации и Воронежской области, законодательства Российской Федерации о налогах и сборах, нормативно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- правового акта муниципального района, регулирующего бюджетные правоотношения.</w:t>
      </w:r>
    </w:p>
    <w:p w14:paraId="462E17D5" w14:textId="77777777" w:rsidR="00CF57E5" w:rsidRPr="00485466" w:rsidRDefault="00CF57E5" w:rsidP="00CF57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7155150D" w14:textId="77777777"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. Порядок финансирования 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>.</w:t>
      </w:r>
    </w:p>
    <w:p w14:paraId="68158948" w14:textId="77777777"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3.1. Финансовый отдел администрации Калачеевского муниципального района в течение 10 рабочих дней после утверждения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и</w:t>
      </w:r>
      <w:r w:rsidRPr="00485466">
        <w:rPr>
          <w:rFonts w:ascii="Times New Roman" w:hAnsi="Times New Roman" w:cs="Times New Roman"/>
          <w:sz w:val="24"/>
          <w:szCs w:val="24"/>
        </w:rPr>
        <w:t xml:space="preserve"> распределения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доводит уведомления о бюджетных ассигнованиях из муниципального бюджета органам местного самоуправления поселений по форме согласно приложению № 1 к Порядку.</w:t>
      </w:r>
    </w:p>
    <w:p w14:paraId="1D408F36" w14:textId="20441C7E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3.2. Финансовый отдел администрации Калачеевского муниципального района на основании сводной бюджетной росписи и кассового плана исполнения муниципального бюджета перечисляет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по разделу 14 "Межбюджетные трансферты общего характера бюджетам субъектов Российской Федерации и муниципальных образований", подразделу 0</w:t>
      </w:r>
      <w:r w:rsidR="00256A79" w:rsidRPr="00485466">
        <w:rPr>
          <w:rFonts w:ascii="Times New Roman" w:hAnsi="Times New Roman" w:cs="Times New Roman"/>
          <w:sz w:val="24"/>
          <w:szCs w:val="24"/>
        </w:rPr>
        <w:t>3</w:t>
      </w:r>
      <w:r w:rsidRPr="00485466">
        <w:rPr>
          <w:rFonts w:ascii="Times New Roman" w:hAnsi="Times New Roman" w:cs="Times New Roman"/>
          <w:sz w:val="24"/>
          <w:szCs w:val="24"/>
        </w:rPr>
        <w:t xml:space="preserve"> "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", целевой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статье 06 1</w:t>
      </w:r>
      <w:r w:rsidR="0026233B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02 </w:t>
      </w:r>
      <w:r w:rsidR="00256A79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>8803</w:t>
      </w:r>
      <w:r w:rsidR="00726413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56A79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«Иные межбюджетные трансферты на решение вопросов местного значения»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подпрограммы «Управление муниципальными финансами, создание условий для 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района» муниципальной программы «Муниципальное управление», виду расходов 5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», подстатье классификации операций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сектора государственного управления 251 "Перечисления другим бюджетам бюджетной системы Российской Федерации" с лицевого счета финансового отдела администрации Калачеевского муниципального района, открытого на балансовом счете        N 40204 "Средства местных бюджетов" в Управлении Федерального казначейства по Воронежской области, 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на открытый Управлением Федерального казначейства балансовый счет N 40101 "Доходы, распределяемые органами Федерального казначейства между уровнями бюджетной системы Российской Федерации" в соответствии с реквизитами, представленными администраторами указанных поступлений, для последующего их зачисления на лицевые счета поселений, открытые на балансовом счете N 40204 "Средства местных бюджетов".</w:t>
      </w:r>
    </w:p>
    <w:p w14:paraId="50C2CE5A" w14:textId="77777777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3.3. Поступившие Дотации отражаются в доходах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485466">
        <w:rPr>
          <w:rFonts w:ascii="Times New Roman" w:hAnsi="Times New Roman" w:cs="Times New Roman"/>
          <w:sz w:val="24"/>
          <w:szCs w:val="24"/>
        </w:rPr>
        <w:t>поселений по коду классификации доходов бюджетов 914</w:t>
      </w:r>
      <w:r w:rsidR="00256A79" w:rsidRPr="00485466">
        <w:rPr>
          <w:rFonts w:ascii="Times New Roman" w:hAnsi="Times New Roman" w:cs="Times New Roman"/>
          <w:sz w:val="24"/>
          <w:szCs w:val="24"/>
        </w:rPr>
        <w:t> </w:t>
      </w:r>
      <w:r w:rsidRPr="00485466">
        <w:rPr>
          <w:rFonts w:ascii="Times New Roman" w:hAnsi="Times New Roman" w:cs="Times New Roman"/>
          <w:sz w:val="24"/>
          <w:szCs w:val="24"/>
        </w:rPr>
        <w:t>2</w:t>
      </w:r>
      <w:r w:rsidR="00256A79" w:rsidRPr="00485466">
        <w:rPr>
          <w:rFonts w:ascii="Times New Roman" w:hAnsi="Times New Roman" w:cs="Times New Roman"/>
          <w:sz w:val="24"/>
          <w:szCs w:val="24"/>
        </w:rPr>
        <w:t>02 49999</w:t>
      </w:r>
      <w:r w:rsidRPr="00485466">
        <w:rPr>
          <w:rFonts w:ascii="Times New Roman" w:hAnsi="Times New Roman" w:cs="Times New Roman"/>
          <w:sz w:val="24"/>
          <w:szCs w:val="24"/>
        </w:rPr>
        <w:t xml:space="preserve"> 10 0000 151 "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трансферты, передаваемые </w:t>
      </w:r>
      <w:r w:rsidRPr="00485466">
        <w:rPr>
          <w:rFonts w:ascii="Times New Roman" w:hAnsi="Times New Roman" w:cs="Times New Roman"/>
          <w:sz w:val="24"/>
          <w:szCs w:val="24"/>
        </w:rPr>
        <w:t>бюджет</w:t>
      </w:r>
      <w:r w:rsidR="00256A79" w:rsidRPr="00485466">
        <w:rPr>
          <w:rFonts w:ascii="Times New Roman" w:hAnsi="Times New Roman" w:cs="Times New Roman"/>
          <w:sz w:val="24"/>
          <w:szCs w:val="24"/>
        </w:rPr>
        <w:t>ам</w:t>
      </w:r>
      <w:r w:rsidRPr="00485466">
        <w:rPr>
          <w:rFonts w:ascii="Times New Roman" w:hAnsi="Times New Roman" w:cs="Times New Roman"/>
          <w:sz w:val="24"/>
          <w:szCs w:val="24"/>
        </w:rPr>
        <w:t>".</w:t>
      </w:r>
    </w:p>
    <w:p w14:paraId="5C733453" w14:textId="77777777"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3.4. Администрация поселения после получения выписки о зачислении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балансовый счет N 40204 "Средства местных бюджетов" в соответствии с утвержденными росписями и кассовыми планами исполнения бюджетов осуществляют финансирование расходов по решению вопросов местного значения.</w:t>
      </w:r>
    </w:p>
    <w:p w14:paraId="4AAB47FE" w14:textId="77777777"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1C3C729" w14:textId="77777777" w:rsidR="00CF57E5" w:rsidRPr="00485466" w:rsidRDefault="00CF57E5" w:rsidP="00CF57E5">
      <w:pPr>
        <w:pStyle w:val="ConsPlusNormal"/>
        <w:widowControl/>
        <w:ind w:firstLine="540"/>
        <w:jc w:val="both"/>
        <w:rPr>
          <w:sz w:val="24"/>
          <w:szCs w:val="24"/>
        </w:rPr>
      </w:pPr>
    </w:p>
    <w:p w14:paraId="0EBC41A5" w14:textId="77777777" w:rsidR="00942BA1" w:rsidRPr="00485466" w:rsidRDefault="00CF57E5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МЕТОДИКА РАСПРЕДЕЛЕНИЯ</w:t>
      </w:r>
      <w:r w:rsidR="00942BA1"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БЮДЖЕТАМ</w:t>
      </w:r>
    </w:p>
    <w:p w14:paraId="672F10EF" w14:textId="77777777" w:rsidR="00942BA1" w:rsidRPr="00485466" w:rsidRDefault="00942BA1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ПОСЕЛЕНИЙ КАЛАЧЕЕВСКОГО МУНИЦИПАЛЬНОГО РАЙОНА</w:t>
      </w:r>
    </w:p>
    <w:p w14:paraId="13A9914B" w14:textId="77777777" w:rsidR="00CF57E5" w:rsidRPr="00485466" w:rsidRDefault="00CF57E5" w:rsidP="00CF57E5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</w:t>
      </w:r>
      <w:r w:rsidR="00942BA1" w:rsidRPr="00485466">
        <w:rPr>
          <w:rFonts w:ascii="Times New Roman" w:hAnsi="Times New Roman" w:cs="Times New Roman"/>
          <w:sz w:val="24"/>
          <w:szCs w:val="24"/>
        </w:rPr>
        <w:t>ВЫПОЛНЕНИЕ ПОЛНОМОЧИЙ ПО РЕШЕНИЮ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</w:p>
    <w:p w14:paraId="6B37B65F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35C4954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Объем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минимальных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бюджетов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на выполнение полномочий по решению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Сп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14:paraId="16760E3C" w14:textId="77777777" w:rsidR="00CF57E5" w:rsidRPr="00485466" w:rsidRDefault="007A0E87" w:rsidP="00CF57E5">
      <w:pPr>
        <w:pStyle w:val="ConsPlusNormal"/>
        <w:widowControl/>
        <w:tabs>
          <w:tab w:val="left" w:pos="142"/>
        </w:tabs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Сп</m:t>
              </m:r>
            </m:e>
            <m:sub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nor/>
            </m:rPr>
            <w:rPr>
              <w:rFonts w:eastAsia="Calibri"/>
              <w:sz w:val="24"/>
              <w:szCs w:val="24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naryPr>
            <m:sub>
              <m:r>
                <m:rPr>
                  <m:nor/>
                </m:rPr>
                <w:rPr>
                  <w:sz w:val="24"/>
                  <w:szCs w:val="24"/>
                </w:rPr>
                <m:t>j=1</m:t>
              </m:r>
            </m:sub>
            <m:sup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- </m:t>
          </m:r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Д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>),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  <w:lang w:eastAsia="en-US"/>
            </w:rPr>
            <w:br/>
          </m:r>
        </m:oMath>
      </m:oMathPara>
    </w:p>
    <w:p w14:paraId="4A0CCAC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67CCB405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n - количество поселений, расположенных на территории муниципального района, для которых выполняется условие:</w:t>
      </w:r>
    </w:p>
    <w:p w14:paraId="332321B2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– 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)&gt;0,</w:t>
      </w:r>
    </w:p>
    <w:p w14:paraId="65D0897F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0C37B331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период;</w:t>
      </w:r>
    </w:p>
    <w:p w14:paraId="4FE22169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сумма прогноза налоговых, неналоговых доходов бюджета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>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дотаци</w:t>
      </w:r>
      <w:r w:rsidR="004F6A47" w:rsidRPr="00485466">
        <w:rPr>
          <w:rFonts w:ascii="Times New Roman" w:hAnsi="Times New Roman" w:cs="Times New Roman"/>
          <w:sz w:val="24"/>
          <w:szCs w:val="24"/>
        </w:rPr>
        <w:t>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за счет средств областного бюджета, выделяем</w:t>
      </w:r>
      <w:r w:rsidR="004F6A47" w:rsidRPr="00485466">
        <w:rPr>
          <w:rFonts w:ascii="Times New Roman" w:hAnsi="Times New Roman" w:cs="Times New Roman"/>
          <w:sz w:val="24"/>
          <w:szCs w:val="24"/>
        </w:rPr>
        <w:t>ая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бюджету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 xml:space="preserve"> и дотация на выравнивание бюджетной обеспеченности, выделяемая из бюджета муниципального района бюджету j-го поселения,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14:paraId="3128A55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 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14:paraId="7F5BDF88" w14:textId="5EC960F2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26413">
        <w:rPr>
          <w:rFonts w:ascii="Times New Roman" w:hAnsi="Times New Roman" w:cs="Times New Roman"/>
          <w:sz w:val="24"/>
          <w:szCs w:val="24"/>
          <w:highlight w:val="yellow"/>
        </w:rPr>
        <w:t>Р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="00733027" w:rsidRPr="00726413">
        <w:rPr>
          <w:rFonts w:ascii="Times New Roman" w:hAnsi="Times New Roman" w:cs="Times New Roman"/>
          <w:sz w:val="24"/>
          <w:szCs w:val="24"/>
          <w:highlight w:val="yellow"/>
        </w:rPr>
        <w:t>=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ЗП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+ПГ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+КП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+УС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+ТУ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+КУ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+АП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+МЗ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+ОД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+ДР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+МУ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+НС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+</w:t>
      </w:r>
      <w:r w:rsidR="001663A9" w:rsidRPr="00726413">
        <w:rPr>
          <w:sz w:val="24"/>
          <w:szCs w:val="24"/>
          <w:highlight w:val="yellow"/>
        </w:rPr>
        <w:t>ПП</w:t>
      </w:r>
      <w:r w:rsidR="001663A9"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="0059438B" w:rsidRPr="00726413">
        <w:rPr>
          <w:rFonts w:ascii="Times New Roman" w:hAnsi="Times New Roman" w:cs="Times New Roman"/>
          <w:sz w:val="24"/>
          <w:szCs w:val="24"/>
          <w:highlight w:val="yellow"/>
        </w:rPr>
        <w:t>+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СИ</w:t>
      </w:r>
      <w:r w:rsidRPr="00726413">
        <w:rPr>
          <w:rFonts w:ascii="Times New Roman" w:hAnsi="Times New Roman" w:cs="Times New Roman"/>
          <w:sz w:val="24"/>
          <w:szCs w:val="24"/>
          <w:highlight w:val="yellow"/>
          <w:vertAlign w:val="subscript"/>
          <w:lang w:val="en-US"/>
        </w:rPr>
        <w:t>j</w:t>
      </w:r>
      <w:r w:rsidRPr="00726413">
        <w:rPr>
          <w:rFonts w:ascii="Times New Roman" w:hAnsi="Times New Roman" w:cs="Times New Roman"/>
          <w:sz w:val="24"/>
          <w:szCs w:val="24"/>
          <w:highlight w:val="yellow"/>
        </w:rPr>
        <w:t>,</w:t>
      </w:r>
    </w:p>
    <w:p w14:paraId="029B57F3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1C89BC5A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lastRenderedPageBreak/>
        <w:t>ЗП</w:t>
      </w:r>
      <w:r w:rsidRPr="00485466">
        <w:rPr>
          <w:vertAlign w:val="subscript"/>
          <w:lang w:val="en-US"/>
        </w:rPr>
        <w:t>j</w:t>
      </w:r>
      <w:r w:rsidRPr="00485466">
        <w:t xml:space="preserve"> – объем расходов на оплату труда (с начислениями) работников органов местного самоуправления и бюджетной сферы </w:t>
      </w:r>
      <w:r w:rsidRPr="00485466">
        <w:rPr>
          <w:lang w:val="en-US"/>
        </w:rPr>
        <w:t>j</w:t>
      </w:r>
      <w:r w:rsidRPr="00485466">
        <w:t xml:space="preserve">-го поселения, определяемый в размере  кассовых расходов на оплату труда (с начислениями) за отчетный финансовый год с учетом индексации и уменьшенный на сумму превышения в отчетном финансовом году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(рассчитанных в соответствии с  </w:t>
      </w:r>
      <w:hyperlink r:id="rId6" w:history="1">
        <w:r w:rsidRPr="00485466">
          <w:t>методи</w:t>
        </w:r>
      </w:hyperlink>
      <w:r w:rsidRPr="00485466">
        <w:t>кой, утвержденной постановлением администрации Воронежской области от 28.03.2008 № 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области»);</w:t>
      </w:r>
    </w:p>
    <w:p w14:paraId="6B0B8F94" w14:textId="77777777" w:rsidR="00CF57E5" w:rsidRPr="00485466" w:rsidRDefault="00CF57E5" w:rsidP="000D6EBB">
      <w:pPr>
        <w:ind w:firstLineChars="100" w:firstLine="240"/>
        <w:jc w:val="both"/>
        <w:rPr>
          <w:color w:val="FF0000"/>
        </w:rPr>
      </w:pPr>
      <w:r w:rsidRPr="00485466">
        <w:t>ПГ</w:t>
      </w:r>
      <w:proofErr w:type="gramStart"/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</w:t>
      </w:r>
      <w:r w:rsidRPr="00485466">
        <w:t xml:space="preserve"> -</w:t>
      </w:r>
      <w:proofErr w:type="gramEnd"/>
      <w:r w:rsidRPr="00485466">
        <w:t xml:space="preserve"> дополнительные расходы </w:t>
      </w:r>
      <w:r w:rsidRPr="00485466">
        <w:rPr>
          <w:lang w:val="en-US"/>
        </w:rPr>
        <w:t>j</w:t>
      </w:r>
      <w:r w:rsidRPr="00485466">
        <w:t xml:space="preserve">-го поселения в соответствии с </w:t>
      </w:r>
      <w:r w:rsidR="000D6EBB" w:rsidRPr="00485466">
        <w:t xml:space="preserve"> </w:t>
      </w:r>
      <w:r w:rsidR="00211615" w:rsidRPr="00485466">
        <w:t>У</w:t>
      </w:r>
      <w:r w:rsidR="000D6EBB" w:rsidRPr="00485466">
        <w:t>казом Президента РФ от 7.05.2012 №597</w:t>
      </w:r>
      <w:r w:rsidRPr="00485466">
        <w:rPr>
          <w:color w:val="FF0000"/>
        </w:rPr>
        <w:t>;</w:t>
      </w:r>
    </w:p>
    <w:p w14:paraId="35900B2A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КП</w:t>
      </w:r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  </w:t>
      </w:r>
      <w:r w:rsidRPr="00485466">
        <w:t xml:space="preserve">– объем расходов </w:t>
      </w:r>
      <w:r w:rsidRPr="00485466">
        <w:rPr>
          <w:lang w:val="en-US"/>
        </w:rPr>
        <w:t>j</w:t>
      </w:r>
      <w:r w:rsidRPr="00485466">
        <w:t>-го поселения на прочие выплаты, определяемый на уровне кассовых расходов за отчетный финансовый год;</w:t>
      </w:r>
    </w:p>
    <w:p w14:paraId="72092166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УС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оплату услуг связи муниципальными учреждениями, определяемый на уровне кассовых расходов за отчетный финансовый год;</w:t>
      </w:r>
    </w:p>
    <w:p w14:paraId="63532968" w14:textId="77777777"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ТУ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транспортные услуги, определяемый на уровне кассовых расходов за отчетный финансовый год;</w:t>
      </w:r>
    </w:p>
    <w:p w14:paraId="0868759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тарифов;</w:t>
      </w:r>
    </w:p>
    <w:p w14:paraId="2A73F088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АП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-го поселения по оплате арендной платы за пользование имуществом, определяемый на уровне кассовых </w:t>
      </w:r>
      <w:r w:rsidR="00E70D5E" w:rsidRPr="00485466">
        <w:rPr>
          <w:rFonts w:ascii="Times New Roman" w:hAnsi="Times New Roman" w:cs="Times New Roman"/>
          <w:sz w:val="24"/>
          <w:szCs w:val="24"/>
        </w:rPr>
        <w:t xml:space="preserve">расходов за отчетный финансовый </w:t>
      </w:r>
      <w:r w:rsidRPr="00485466">
        <w:rPr>
          <w:rFonts w:ascii="Times New Roman" w:hAnsi="Times New Roman" w:cs="Times New Roman"/>
          <w:sz w:val="24"/>
          <w:szCs w:val="24"/>
        </w:rPr>
        <w:t>год;</w:t>
      </w:r>
    </w:p>
    <w:p w14:paraId="3CDF609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МЗ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приобретение котельно-печного топлива и горюче-смазочных материалов, определяемый на уровне кассовых расходов за отчетный финансовый год;</w:t>
      </w:r>
    </w:p>
    <w:p w14:paraId="6089F3EC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дружин, личное страхование народных дружинников на период их участия в мероприятиях по охране общественного порядка, определяемый по формуле:</w:t>
      </w:r>
    </w:p>
    <w:p w14:paraId="275F87DE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= 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>× 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6EC0F0A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7909BFBB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расходы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 (приобретение (изготовление) удостоверения, форменного жилета, нарукавной повязки) и личное страхование народных дружинников на период их участия в мероприятиях по охране общественного порядка из расчета 4,9 тыс. рублей на 1 тысячу жителей;</w:t>
      </w:r>
    </w:p>
    <w:p w14:paraId="060D659E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E70D5E" w:rsidRPr="00485466">
        <w:rPr>
          <w:rFonts w:ascii="Times New Roman" w:hAnsi="Times New Roman" w:cs="Times New Roman"/>
          <w:sz w:val="24"/>
          <w:szCs w:val="24"/>
        </w:rPr>
        <w:t>-го поселения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начало текущего года (по данным территориального органа Федеральной службы государственной статистики по Воронежской области);</w:t>
      </w:r>
    </w:p>
    <w:p w14:paraId="4B001B77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на уплату налогов, сборов и пошлин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определяемый на уровне кассовых расходов за отчетный финансовый год;</w:t>
      </w:r>
    </w:p>
    <w:p w14:paraId="5E2A7F7E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финансовое обеспечение выполнения муниципального задания, определяемый путем индексации   кассовых расходов за отчетный финансовый год аналогично соответствующим кодам классификации операций сектора государственного управления;</w:t>
      </w:r>
    </w:p>
    <w:p w14:paraId="1F69E7C2" w14:textId="0F1943D3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НС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(оплата труда и начисления на оплату труда, оплата услуг связи, транспортных услуг, коммунальных услуг, налогов, сборов и пошлин, котельно-печного топлива, горюче-смазочных материалов) на содержание объектов социально-культурной сферы (расширение сети), введенных в отчетном финансовом  году, определяемый разницей запланированных муниципальными образованиями расходов по этим объектам на очередной финансовый год и плановый период и суммы кассовых расходов по этим объектам в отчетном финансовом году и введенных в  январе-</w:t>
      </w:r>
      <w:r w:rsidRPr="00485466">
        <w:rPr>
          <w:rFonts w:ascii="Times New Roman" w:hAnsi="Times New Roman" w:cs="Times New Roman"/>
          <w:sz w:val="24"/>
          <w:szCs w:val="24"/>
        </w:rPr>
        <w:lastRenderedPageBreak/>
        <w:t>сентябре текущего финансового года, определяемый на уровне 50% запланированных муниципальными образованиями расходов по этим объектам на очередной финансовый год и плановый период;</w:t>
      </w:r>
    </w:p>
    <w:p w14:paraId="3B09DFC4" w14:textId="6CF0381A" w:rsidR="001663A9" w:rsidRPr="00485466" w:rsidRDefault="001663A9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ПП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 xml:space="preserve">-го поселения на переданные полномочия на 2023 год; </w:t>
      </w:r>
    </w:p>
    <w:p w14:paraId="3CECAEEE" w14:textId="3509262A"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СИ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поселения, на финансирование работ и услуг по содержанию имущества (за исключением расходов на текущий и капитальный ремонт имущества) и на прочие работы, услуги, определяемый по следующей формуле:</w:t>
      </w:r>
    </w:p>
    <w:p w14:paraId="5EFFB5CD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14:paraId="12EE7568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  <w:r w:rsidRPr="00485466">
        <w:rPr>
          <w:sz w:val="24"/>
          <w:szCs w:val="24"/>
        </w:rPr>
        <w:t>СИ</w:t>
      </w:r>
      <w:r w:rsidRPr="00485466">
        <w:rPr>
          <w:sz w:val="24"/>
          <w:szCs w:val="24"/>
          <w:vertAlign w:val="subscript"/>
          <w:lang w:val="en-US"/>
        </w:rPr>
        <w:t>j</w:t>
      </w:r>
      <w:r w:rsidRPr="00485466">
        <w:rPr>
          <w:sz w:val="24"/>
          <w:szCs w:val="24"/>
          <w:vertAlign w:val="subscript"/>
        </w:rPr>
        <w:t xml:space="preserve">= </w:t>
      </w: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хК</w:t>
      </w:r>
      <w:proofErr w:type="spellEnd"/>
    </w:p>
    <w:p w14:paraId="611ADAE4" w14:textId="77777777"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14:paraId="5E4C3AF0" w14:textId="77777777" w:rsidR="00F365FE" w:rsidRPr="00485466" w:rsidRDefault="00F365FE" w:rsidP="00F365FE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D7DE86C" w14:textId="77777777" w:rsidR="00F365FE" w:rsidRPr="00485466" w:rsidRDefault="00F365FE" w:rsidP="00F365FE">
      <w:pPr>
        <w:pStyle w:val="ConsPlusNonformat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14:paraId="524A4BE7" w14:textId="1E89085D"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сумма кассовых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в муниципальных район</w:t>
      </w:r>
      <w:r w:rsidR="00485466">
        <w:rPr>
          <w:rFonts w:ascii="Times New Roman" w:hAnsi="Times New Roman" w:cs="Times New Roman"/>
          <w:sz w:val="24"/>
          <w:szCs w:val="24"/>
        </w:rPr>
        <w:t>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,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работы, услуги. </w:t>
      </w:r>
    </w:p>
    <w:p w14:paraId="074EC080" w14:textId="77777777"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 - коэффициент равен 0,70.</w:t>
      </w:r>
    </w:p>
    <w:p w14:paraId="733BB155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определении объемов расходов минимальных бюджетов поселений на очередной финансовый год и плановый период:</w:t>
      </w:r>
    </w:p>
    <w:p w14:paraId="540F0AFB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-не учитываются расходы, произведенные в отчетном финансовом году за счет целевых средств, поступивших из бюджетов других уровней;</w:t>
      </w:r>
    </w:p>
    <w:p w14:paraId="602517D2" w14:textId="77777777"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-учитываются расходы, произведенные муниципальными районами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</w:t>
      </w:r>
      <w:r w:rsidR="00733027" w:rsidRPr="00485466">
        <w:rPr>
          <w:rFonts w:ascii="Times New Roman" w:hAnsi="Times New Roman" w:cs="Times New Roman"/>
          <w:sz w:val="24"/>
          <w:szCs w:val="24"/>
        </w:rPr>
        <w:t>ения части полномочий поселений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="00736FEA" w:rsidRPr="0048546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36FEA" w:rsidRPr="00485466">
        <w:rPr>
          <w:rFonts w:ascii="Times New Roman" w:hAnsi="Times New Roman" w:cs="Times New Roman"/>
          <w:sz w:val="24"/>
          <w:szCs w:val="24"/>
        </w:rPr>
        <w:t xml:space="preserve"> областных программ.</w:t>
      </w:r>
    </w:p>
    <w:p w14:paraId="0A0FCEED" w14:textId="77777777"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расчете прогноза налоговых доходов поселений на очередной финансовый год и плановый период:</w:t>
      </w:r>
    </w:p>
    <w:p w14:paraId="1B820256" w14:textId="77777777" w:rsidR="00733027" w:rsidRPr="00485466" w:rsidRDefault="00CF57E5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</w:t>
      </w:r>
      <w:r w:rsidR="00F365FE" w:rsidRPr="00485466">
        <w:t>ерации.</w:t>
      </w:r>
    </w:p>
    <w:p w14:paraId="65A06579" w14:textId="77777777"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</w:p>
    <w:p w14:paraId="5561B0B1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FC4590F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99575C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7B94620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C4346F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1C5514" w14:textId="1F64435F" w:rsidR="00893174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4795C44" w14:textId="1ED584DB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0568B79" w14:textId="13314021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375FB0B" w14:textId="402CC106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F5E20B" w14:textId="66ED71D2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347D79" w14:textId="7EBE7248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332080" w14:textId="2372C184"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76B7E7" w14:textId="77777777" w:rsidR="00E052DA" w:rsidRPr="00485466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4F89012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EBBD808" w14:textId="77777777"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75B8E69" w14:textId="77777777" w:rsidR="00893174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E733461" w14:textId="77777777" w:rsidR="00CF57E5" w:rsidRDefault="00CF57E5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4AD25BC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418D757D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AE10E3B" w14:textId="77777777"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56EBD4C2" w14:textId="77777777" w:rsidR="00CF57E5" w:rsidRPr="006B46B2" w:rsidRDefault="00CF57E5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02E6" w14:textId="77777777"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6B2">
        <w:rPr>
          <w:rFonts w:ascii="Times New Roman" w:hAnsi="Times New Roman" w:cs="Times New Roman"/>
          <w:sz w:val="24"/>
          <w:szCs w:val="24"/>
        </w:rPr>
        <w:t xml:space="preserve">предоставления и </w:t>
      </w:r>
    </w:p>
    <w:p w14:paraId="3BD20506" w14:textId="77777777" w:rsidR="00D773B7" w:rsidRDefault="00CF57E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расходования бюджетам  поселений</w:t>
      </w:r>
      <w:r w:rsidR="00F5216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179E5C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</w:t>
      </w:r>
      <w:r w:rsidR="00D773B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F57E5">
        <w:rPr>
          <w:rFonts w:ascii="Times New Roman" w:hAnsi="Times New Roman" w:cs="Times New Roman"/>
          <w:sz w:val="24"/>
          <w:szCs w:val="24"/>
        </w:rPr>
        <w:t xml:space="preserve"> </w:t>
      </w:r>
      <w:r w:rsidR="00CF57E5" w:rsidRPr="006B46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22E778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</w:p>
    <w:p w14:paraId="2216BB58" w14:textId="77777777"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решению </w:t>
      </w:r>
    </w:p>
    <w:p w14:paraId="5D1DD3CB" w14:textId="77777777" w:rsidR="00CF57E5" w:rsidRPr="00FC6720" w:rsidRDefault="00F52165" w:rsidP="00D773B7">
      <w:pPr>
        <w:pStyle w:val="ConsPlusNormal"/>
        <w:widowControl/>
        <w:tabs>
          <w:tab w:val="left" w:pos="4962"/>
          <w:tab w:val="left" w:pos="5529"/>
          <w:tab w:val="left" w:pos="6237"/>
        </w:tabs>
        <w:ind w:firstLine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вопросов местного значения</w:t>
      </w:r>
    </w:p>
    <w:p w14:paraId="5C52EEC2" w14:textId="77777777"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49E6469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7B7F0B79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УВЕДОМЛЕНИЕ</w:t>
      </w:r>
    </w:p>
    <w:p w14:paraId="53E8208F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О БЮДЖЕТНЫХ АССИГНОВАНИЯХ ПО РАЗДЕЛУ 14</w:t>
      </w:r>
    </w:p>
    <w:p w14:paraId="0B35F4AE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"МЕЖБЮДЖЕТНЫЕ ТРАНСФЕРТЫ ОБЩЕГО ХАРАКТЕРА</w:t>
      </w:r>
    </w:p>
    <w:p w14:paraId="2FF86BD0" w14:textId="77777777"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 xml:space="preserve"> БЮДЖЕТАМ СУБЪЕКТОВ РОССИЙСКОЙ ФЕДЕРАЦИИ И МУНИЦИПАЛЬНЫХ ОБРАЗОВАНИЙ"</w:t>
      </w:r>
    </w:p>
    <w:p w14:paraId="684CD1A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6614756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39E98414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главного распорядителя средств</w:t>
      </w:r>
    </w:p>
    <w:p w14:paraId="4E7CD6EB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муниципального бюджета)</w:t>
      </w:r>
    </w:p>
    <w:p w14:paraId="264DE58A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156BB5C1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распорядителя средств муниципального бюджета)</w:t>
      </w:r>
    </w:p>
    <w:p w14:paraId="60285FB0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14:paraId="07EBD415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поселения)</w:t>
      </w:r>
    </w:p>
    <w:p w14:paraId="7D33E7BE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на ____________________________________________</w:t>
      </w:r>
    </w:p>
    <w:p w14:paraId="4B4E541E" w14:textId="77777777"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(текущий финансовый год)</w:t>
      </w:r>
    </w:p>
    <w:p w14:paraId="16FDD28D" w14:textId="77777777" w:rsidR="00CF57E5" w:rsidRPr="009F5BA7" w:rsidRDefault="00CF57E5" w:rsidP="00CF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945"/>
        <w:gridCol w:w="945"/>
        <w:gridCol w:w="945"/>
        <w:gridCol w:w="945"/>
        <w:gridCol w:w="945"/>
        <w:gridCol w:w="1215"/>
        <w:gridCol w:w="1350"/>
      </w:tblGrid>
      <w:tr w:rsidR="00CF57E5" w:rsidRPr="009F5BA7" w14:paraId="321325D1" w14:textId="77777777" w:rsidTr="004F6A47">
        <w:trPr>
          <w:cantSplit/>
          <w:trHeight w:val="36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8321EC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92524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D297B8" w14:textId="77777777" w:rsidR="00CF57E5" w:rsidRPr="009F5BA7" w:rsidRDefault="00CF57E5" w:rsidP="004F6A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(тыс. 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>рублей)</w:t>
            </w:r>
          </w:p>
        </w:tc>
      </w:tr>
      <w:tr w:rsidR="00CF57E5" w:rsidRPr="009F5BA7" w14:paraId="12C8363E" w14:textId="77777777" w:rsidTr="004F6A47">
        <w:trPr>
          <w:cantSplit/>
          <w:trHeight w:val="24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90B4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211B3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DBE5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CFAC8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DB44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F286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6BE85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КОСГУ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7C4D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3A5A946D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5A7D7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1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4A93E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D639A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2C7A4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19701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AAC38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DDCA6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6B355" w14:textId="77777777"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57E5" w:rsidRPr="009F5BA7" w14:paraId="24738C92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FD8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EFE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B370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BC82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AAFF3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CDC0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3230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E63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789F12E8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4868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A639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F45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A9DF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7CD2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84F98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42C0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792F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0A567EC1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53935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4…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6186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A1F2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A1453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AA957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F4BB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98965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8CB91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14:paraId="6BEF5A70" w14:textId="7777777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95601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53E6E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8C22C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E0560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10339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8942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F83DD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29BCA" w14:textId="77777777"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86D7485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14:paraId="7A1BF9A4" w14:textId="77777777"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E44F4ED" w14:textId="77777777" w:rsidR="00CF57E5" w:rsidRPr="009F5BA7" w:rsidRDefault="00CF57E5" w:rsidP="00CF57E5">
      <w:pPr>
        <w:jc w:val="right"/>
      </w:pPr>
      <w:r w:rsidRPr="009F5BA7">
        <w:t xml:space="preserve">                                                                       </w:t>
      </w:r>
    </w:p>
    <w:p w14:paraId="5674F4C0" w14:textId="77777777" w:rsidR="00CF57E5" w:rsidRPr="009F5BA7" w:rsidRDefault="00CF57E5" w:rsidP="00CF57E5">
      <w:pPr>
        <w:jc w:val="right"/>
      </w:pPr>
    </w:p>
    <w:p w14:paraId="5FDE3C9E" w14:textId="77777777" w:rsidR="00CF57E5" w:rsidRPr="009F5BA7" w:rsidRDefault="00CF57E5" w:rsidP="00CF57E5">
      <w:pPr>
        <w:jc w:val="right"/>
      </w:pPr>
    </w:p>
    <w:p w14:paraId="6BC8758D" w14:textId="77777777" w:rsidR="00CF57E5" w:rsidRPr="009F5BA7" w:rsidRDefault="00CF57E5" w:rsidP="00CF57E5">
      <w:pPr>
        <w:jc w:val="right"/>
      </w:pPr>
    </w:p>
    <w:p w14:paraId="0452A19B" w14:textId="77777777" w:rsidR="00CF57E5" w:rsidRPr="009F5BA7" w:rsidRDefault="00CF57E5" w:rsidP="00CF57E5">
      <w:pPr>
        <w:jc w:val="right"/>
      </w:pPr>
    </w:p>
    <w:p w14:paraId="710E62B0" w14:textId="77777777" w:rsidR="00CF57E5" w:rsidRPr="009F5BA7" w:rsidRDefault="00CF57E5" w:rsidP="00CF57E5">
      <w:pPr>
        <w:jc w:val="right"/>
      </w:pPr>
    </w:p>
    <w:p w14:paraId="4FED00A8" w14:textId="77777777" w:rsidR="00CF57E5" w:rsidRDefault="00CF57E5" w:rsidP="00CF57E5">
      <w:pPr>
        <w:jc w:val="right"/>
      </w:pPr>
    </w:p>
    <w:p w14:paraId="523F1DA6" w14:textId="77777777" w:rsidR="00CF57E5" w:rsidRPr="009F5BA7" w:rsidRDefault="00CF57E5" w:rsidP="00CF57E5">
      <w:pPr>
        <w:jc w:val="right"/>
      </w:pPr>
    </w:p>
    <w:p w14:paraId="5A61435E" w14:textId="77777777" w:rsidR="00CF57E5" w:rsidRPr="009F5BA7" w:rsidRDefault="00CF57E5" w:rsidP="00CF57E5">
      <w:pPr>
        <w:jc w:val="right"/>
      </w:pPr>
    </w:p>
    <w:p w14:paraId="606253B9" w14:textId="77777777" w:rsidR="00CF57E5" w:rsidRDefault="00CF57E5" w:rsidP="00CF57E5">
      <w:pPr>
        <w:jc w:val="right"/>
      </w:pPr>
    </w:p>
    <w:p w14:paraId="3732D399" w14:textId="77777777" w:rsidR="00CF57E5" w:rsidRDefault="00CF57E5" w:rsidP="00CF57E5">
      <w:pPr>
        <w:jc w:val="right"/>
        <w:rPr>
          <w:sz w:val="28"/>
          <w:szCs w:val="28"/>
        </w:rPr>
      </w:pPr>
    </w:p>
    <w:p w14:paraId="33EC63EF" w14:textId="77777777" w:rsidR="00CF57E5" w:rsidRDefault="00CF57E5" w:rsidP="00CF57E5">
      <w:pPr>
        <w:jc w:val="right"/>
        <w:rPr>
          <w:sz w:val="28"/>
          <w:szCs w:val="28"/>
        </w:rPr>
      </w:pPr>
    </w:p>
    <w:p w14:paraId="0EC28904" w14:textId="77777777" w:rsidR="00CF57E5" w:rsidRDefault="00CF57E5" w:rsidP="00CF57E5">
      <w:pPr>
        <w:jc w:val="right"/>
        <w:rPr>
          <w:sz w:val="28"/>
          <w:szCs w:val="28"/>
        </w:rPr>
      </w:pPr>
    </w:p>
    <w:p w14:paraId="580F12FA" w14:textId="77777777" w:rsidR="00CF57E5" w:rsidRPr="001D098A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557E752" w14:textId="77777777" w:rsidR="00E96E39" w:rsidRDefault="00E96E39"/>
    <w:sectPr w:rsidR="00E96E39" w:rsidSect="004F6A47">
      <w:pgSz w:w="11906" w:h="16838" w:code="9"/>
      <w:pgMar w:top="851" w:right="849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F66AD"/>
    <w:multiLevelType w:val="hybridMultilevel"/>
    <w:tmpl w:val="F334940E"/>
    <w:lvl w:ilvl="0" w:tplc="E41A3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E793F54"/>
    <w:multiLevelType w:val="hybridMultilevel"/>
    <w:tmpl w:val="615A25DC"/>
    <w:lvl w:ilvl="0" w:tplc="2E7008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7E5"/>
    <w:rsid w:val="000254C0"/>
    <w:rsid w:val="000C3420"/>
    <w:rsid w:val="000D6EBB"/>
    <w:rsid w:val="001247F1"/>
    <w:rsid w:val="001663A9"/>
    <w:rsid w:val="00192A41"/>
    <w:rsid w:val="001A6143"/>
    <w:rsid w:val="0020212E"/>
    <w:rsid w:val="00211615"/>
    <w:rsid w:val="00223D44"/>
    <w:rsid w:val="00237D8B"/>
    <w:rsid w:val="00256A79"/>
    <w:rsid w:val="0026233B"/>
    <w:rsid w:val="00290793"/>
    <w:rsid w:val="002C480E"/>
    <w:rsid w:val="00357132"/>
    <w:rsid w:val="003B1465"/>
    <w:rsid w:val="003B6B88"/>
    <w:rsid w:val="003D24D5"/>
    <w:rsid w:val="00466A8C"/>
    <w:rsid w:val="00485466"/>
    <w:rsid w:val="004F6A47"/>
    <w:rsid w:val="00505684"/>
    <w:rsid w:val="005328DC"/>
    <w:rsid w:val="005370DA"/>
    <w:rsid w:val="005803AE"/>
    <w:rsid w:val="0059438B"/>
    <w:rsid w:val="005C0834"/>
    <w:rsid w:val="005F0EC2"/>
    <w:rsid w:val="00611FD4"/>
    <w:rsid w:val="00656C0C"/>
    <w:rsid w:val="00702653"/>
    <w:rsid w:val="00726413"/>
    <w:rsid w:val="00733027"/>
    <w:rsid w:val="00736FEA"/>
    <w:rsid w:val="00781D0F"/>
    <w:rsid w:val="00784BA7"/>
    <w:rsid w:val="007A0D1B"/>
    <w:rsid w:val="007A0E87"/>
    <w:rsid w:val="00811997"/>
    <w:rsid w:val="00814491"/>
    <w:rsid w:val="00893174"/>
    <w:rsid w:val="008B034A"/>
    <w:rsid w:val="00906E69"/>
    <w:rsid w:val="00942BA1"/>
    <w:rsid w:val="009C4D41"/>
    <w:rsid w:val="00A1198A"/>
    <w:rsid w:val="00A9582E"/>
    <w:rsid w:val="00AF180A"/>
    <w:rsid w:val="00B02C6C"/>
    <w:rsid w:val="00B317E5"/>
    <w:rsid w:val="00B47825"/>
    <w:rsid w:val="00BB48BE"/>
    <w:rsid w:val="00C2377B"/>
    <w:rsid w:val="00C5750F"/>
    <w:rsid w:val="00CA6E53"/>
    <w:rsid w:val="00CE02B4"/>
    <w:rsid w:val="00CF57E5"/>
    <w:rsid w:val="00D063C0"/>
    <w:rsid w:val="00D14DE5"/>
    <w:rsid w:val="00D773B7"/>
    <w:rsid w:val="00D86850"/>
    <w:rsid w:val="00E052DA"/>
    <w:rsid w:val="00E2367D"/>
    <w:rsid w:val="00E43782"/>
    <w:rsid w:val="00E70D5E"/>
    <w:rsid w:val="00E96E39"/>
    <w:rsid w:val="00F365FE"/>
    <w:rsid w:val="00F52165"/>
    <w:rsid w:val="00F902BC"/>
    <w:rsid w:val="00FB3031"/>
    <w:rsid w:val="00FD6456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0E816"/>
  <w15:docId w15:val="{85959CCA-8C96-4C6A-846B-782CAFC0C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7E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7E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E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CF57E5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F57E5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5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881309309EEC1F6BC0DCEFE59570DE3D8F03D4E54DFD08C4418E08D3A3C2B52FA0B311BE35B844B58F43S6F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5C33-37A9-4059-9168-8A20AD0A2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</dc:creator>
  <cp:lastModifiedBy>Сорокина Галина Ивановна</cp:lastModifiedBy>
  <cp:revision>33</cp:revision>
  <cp:lastPrinted>2024-11-28T11:34:00Z</cp:lastPrinted>
  <dcterms:created xsi:type="dcterms:W3CDTF">2018-11-18T10:46:00Z</dcterms:created>
  <dcterms:modified xsi:type="dcterms:W3CDTF">2024-11-28T11:34:00Z</dcterms:modified>
</cp:coreProperties>
</file>