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</w:tblGrid>
      <w:tr w:rsidR="001710D7" w:rsidRPr="00FF5965" w:rsidTr="00B41BE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710D7" w:rsidRPr="00FF5965" w:rsidRDefault="001710D7" w:rsidP="00FF5965">
            <w:pPr>
              <w:ind w:firstLine="709"/>
              <w:contextualSpacing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FF5965" w:rsidRDefault="00835E21" w:rsidP="00FF596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D7" w:rsidRPr="00FF5965" w:rsidRDefault="001710D7" w:rsidP="00FF5965">
      <w:pPr>
        <w:ind w:firstLine="709"/>
        <w:jc w:val="center"/>
        <w:rPr>
          <w:rFonts w:cs="Arial"/>
        </w:rPr>
      </w:pPr>
      <w:r w:rsidRPr="00FF5965">
        <w:rPr>
          <w:rFonts w:cs="Arial"/>
        </w:rPr>
        <w:t>АДМИНИСТРАЦИЯ</w:t>
      </w:r>
    </w:p>
    <w:p w:rsidR="001710D7" w:rsidRPr="00FF5965" w:rsidRDefault="001710D7" w:rsidP="00FF5965">
      <w:pPr>
        <w:ind w:firstLine="709"/>
        <w:jc w:val="center"/>
        <w:rPr>
          <w:rFonts w:cs="Arial"/>
        </w:rPr>
      </w:pPr>
      <w:r w:rsidRPr="00FF5965">
        <w:rPr>
          <w:rFonts w:cs="Arial"/>
        </w:rPr>
        <w:t>КАЛАЧЕЕВСКОГО МУНИЦИПАЛЬНОГО РАЙОНА</w:t>
      </w:r>
    </w:p>
    <w:p w:rsidR="001710D7" w:rsidRPr="00FF5965" w:rsidRDefault="001710D7" w:rsidP="00FF5965">
      <w:pPr>
        <w:ind w:firstLine="709"/>
        <w:jc w:val="center"/>
        <w:rPr>
          <w:rFonts w:cs="Arial"/>
        </w:rPr>
      </w:pPr>
      <w:r w:rsidRPr="00FF5965">
        <w:rPr>
          <w:rFonts w:cs="Arial"/>
        </w:rPr>
        <w:t>ВОРОНЕЖСКОЙ ОБЛАСТИ</w:t>
      </w:r>
    </w:p>
    <w:p w:rsidR="00FF5965" w:rsidRDefault="00FC17AE" w:rsidP="00FF5965">
      <w:pPr>
        <w:ind w:firstLine="709"/>
        <w:jc w:val="center"/>
        <w:rPr>
          <w:rFonts w:cs="Arial"/>
        </w:rPr>
      </w:pPr>
      <w:r w:rsidRPr="00FF5965">
        <w:rPr>
          <w:rFonts w:cs="Arial"/>
        </w:rPr>
        <w:t>ПОСТАНОВЛЕНИЕ</w:t>
      </w:r>
    </w:p>
    <w:p w:rsidR="001710D7" w:rsidRPr="00FF5965" w:rsidRDefault="001710D7" w:rsidP="00FF5965">
      <w:pPr>
        <w:ind w:firstLine="709"/>
        <w:contextualSpacing/>
        <w:rPr>
          <w:rFonts w:cs="Arial"/>
        </w:rPr>
      </w:pPr>
    </w:p>
    <w:p w:rsidR="00BF6703" w:rsidRPr="00FF5965" w:rsidRDefault="001710D7" w:rsidP="00FF5965">
      <w:pPr>
        <w:ind w:firstLine="709"/>
        <w:contextualSpacing/>
        <w:rPr>
          <w:rFonts w:cs="Arial"/>
        </w:rPr>
      </w:pPr>
      <w:r w:rsidRPr="00FF5965">
        <w:rPr>
          <w:rFonts w:cs="Arial"/>
        </w:rPr>
        <w:t xml:space="preserve"> "</w:t>
      </w:r>
      <w:r w:rsidR="00FF5965" w:rsidRPr="00FF5965">
        <w:rPr>
          <w:rFonts w:cs="Arial"/>
        </w:rPr>
        <w:t>15</w:t>
      </w:r>
      <w:r w:rsidRPr="00FF5965">
        <w:rPr>
          <w:rFonts w:cs="Arial"/>
        </w:rPr>
        <w:t xml:space="preserve">" </w:t>
      </w:r>
      <w:r w:rsidR="00FF5965" w:rsidRPr="00FF5965">
        <w:rPr>
          <w:rFonts w:cs="Arial"/>
        </w:rPr>
        <w:t>июля</w:t>
      </w:r>
      <w:r w:rsidRPr="00FF5965">
        <w:rPr>
          <w:rFonts w:cs="Arial"/>
        </w:rPr>
        <w:t xml:space="preserve"> 2022 г.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№</w:t>
      </w:r>
      <w:r w:rsidR="00FF5965" w:rsidRPr="00FF5965">
        <w:rPr>
          <w:rFonts w:cs="Arial"/>
        </w:rPr>
        <w:t xml:space="preserve"> 534</w:t>
      </w:r>
    </w:p>
    <w:p w:rsidR="001710D7" w:rsidRPr="00FF5965" w:rsidRDefault="00FF5965" w:rsidP="00FF596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C28BE" w:rsidRPr="00FF5965">
        <w:rPr>
          <w:rFonts w:cs="Arial"/>
        </w:rPr>
        <w:t>г. Калач</w:t>
      </w:r>
    </w:p>
    <w:p w:rsidR="00FF5965" w:rsidRDefault="00DC28BE" w:rsidP="00FF5965">
      <w:pPr>
        <w:pStyle w:val="Title"/>
      </w:pPr>
      <w:r w:rsidRPr="00FF5965">
        <w:t>О внесении изменений в постановление администрации Калачеевского муниципального района Воронежской области от 28.12.2021 № 1171 «Об утверждении порядка финансирования физкультурных, спортивных и культурно-массовых мероприятий в рамках муниципальной программы «Развитие физической культуры, спорта и молодежной политики в Калачеевском муниципальном районе на 2020-2026 годы»</w:t>
      </w:r>
    </w:p>
    <w:p w:rsidR="001710D7" w:rsidRPr="00FF5965" w:rsidRDefault="001710D7" w:rsidP="00FF5965">
      <w:pPr>
        <w:ind w:firstLine="709"/>
        <w:rPr>
          <w:rFonts w:cs="Arial"/>
        </w:rPr>
      </w:pPr>
    </w:p>
    <w:p w:rsidR="00CA7DF0" w:rsidRPr="00FF5965" w:rsidRDefault="001710D7" w:rsidP="00FF5965">
      <w:pPr>
        <w:ind w:firstLine="709"/>
        <w:rPr>
          <w:rFonts w:cs="Arial"/>
        </w:rPr>
      </w:pPr>
      <w:r w:rsidRPr="00FF5965">
        <w:rPr>
          <w:rFonts w:cs="Arial"/>
        </w:rPr>
        <w:t>В соответстви</w:t>
      </w:r>
      <w:r w:rsidR="0051216B" w:rsidRPr="00FF5965">
        <w:rPr>
          <w:rFonts w:cs="Arial"/>
        </w:rPr>
        <w:t>и</w:t>
      </w:r>
      <w:r w:rsidRPr="00FF5965">
        <w:rPr>
          <w:rFonts w:cs="Arial"/>
        </w:rPr>
        <w:t xml:space="preserve"> с действующим законодательством Российской Федерации</w:t>
      </w:r>
      <w:r w:rsidR="00DC28BE" w:rsidRPr="00FF5965">
        <w:rPr>
          <w:rFonts w:cs="Arial"/>
        </w:rPr>
        <w:t xml:space="preserve"> и</w:t>
      </w:r>
      <w:r w:rsidRPr="00FF5965">
        <w:rPr>
          <w:rFonts w:cs="Arial"/>
        </w:rPr>
        <w:t xml:space="preserve"> в целях обеспечения условий для развития на территории Калачеевского муниципального района Воронежской области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DC28BE" w:rsidRPr="00FF5965">
        <w:rPr>
          <w:rFonts w:cs="Arial"/>
        </w:rPr>
        <w:t xml:space="preserve"> ,</w:t>
      </w:r>
      <w:r w:rsidR="00F41F6C" w:rsidRPr="00FF5965">
        <w:rPr>
          <w:rFonts w:cs="Arial"/>
        </w:rPr>
        <w:t xml:space="preserve"> администрация</w:t>
      </w:r>
      <w:r w:rsidRPr="00FF5965">
        <w:rPr>
          <w:rFonts w:cs="Arial"/>
        </w:rPr>
        <w:t xml:space="preserve"> Калачеевского муниципального района Воронежской области</w:t>
      </w:r>
      <w:r w:rsidR="00CA7DF0" w:rsidRPr="00FF5965">
        <w:rPr>
          <w:rFonts w:cs="Arial"/>
        </w:rPr>
        <w:t xml:space="preserve"> постановляет:</w:t>
      </w:r>
    </w:p>
    <w:p w:rsidR="001710D7" w:rsidRPr="00FF5965" w:rsidRDefault="00CA7DF0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1.Внести в </w:t>
      </w:r>
      <w:r w:rsidR="00F41F6C" w:rsidRPr="00FF5965">
        <w:rPr>
          <w:rFonts w:cs="Arial"/>
        </w:rPr>
        <w:t>п</w:t>
      </w:r>
      <w:r w:rsidRPr="00FF5965">
        <w:rPr>
          <w:rFonts w:cs="Arial"/>
        </w:rPr>
        <w:t>остановление администрации</w:t>
      </w:r>
      <w:r w:rsidR="00F41F6C" w:rsidRPr="00FF5965">
        <w:rPr>
          <w:rFonts w:cs="Arial"/>
        </w:rPr>
        <w:t xml:space="preserve"> Калачеевского муниципального района Воронежской области</w:t>
      </w:r>
      <w:r w:rsidRPr="00FF5965">
        <w:rPr>
          <w:rFonts w:cs="Arial"/>
        </w:rPr>
        <w:t xml:space="preserve"> от 28.12.2021 года</w:t>
      </w:r>
      <w:r w:rsidR="00F41F6C" w:rsidRPr="00FF5965">
        <w:rPr>
          <w:rFonts w:cs="Arial"/>
        </w:rPr>
        <w:t xml:space="preserve"> №1171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«Об утверждении порядка финансирования физкультурных, спортивных и культурно-массовых мероприятий в рамках муниципальной программы «Развитие физической культуры, спорта и молодежной политики в Калачеевском муниципальном районе на 2020-2026 годы</w:t>
      </w:r>
      <w:r w:rsidR="00DC28BE" w:rsidRPr="00FF5965">
        <w:rPr>
          <w:rFonts w:cs="Arial"/>
        </w:rPr>
        <w:t xml:space="preserve">» следующие </w:t>
      </w:r>
      <w:r w:rsidR="00F41F6C" w:rsidRPr="00FF5965">
        <w:rPr>
          <w:rFonts w:cs="Arial"/>
        </w:rPr>
        <w:t>изменения</w:t>
      </w:r>
      <w:r w:rsidR="00DC28BE" w:rsidRPr="00FF5965">
        <w:rPr>
          <w:rFonts w:cs="Arial"/>
        </w:rPr>
        <w:t>:</w:t>
      </w:r>
    </w:p>
    <w:p w:rsidR="00F41F6C" w:rsidRPr="00FF5965" w:rsidRDefault="00F41F6C" w:rsidP="00FF5965">
      <w:pPr>
        <w:ind w:firstLine="709"/>
        <w:rPr>
          <w:rFonts w:cs="Arial"/>
        </w:rPr>
      </w:pPr>
      <w:r w:rsidRPr="00FF5965">
        <w:rPr>
          <w:rFonts w:cs="Arial"/>
        </w:rPr>
        <w:t>1.1. Порядок финансирования физкультурных, спортивных и культурно- массовых мероприятий в рамках муниципальной программы «Развитие физической культуры, спорта и молодёжной политики в Калачеевском муниципальном районе на 2020-2026 годы</w:t>
      </w:r>
      <w:r w:rsidR="00DC28BE" w:rsidRPr="00FF5965">
        <w:rPr>
          <w:rFonts w:cs="Arial"/>
        </w:rPr>
        <w:t>»</w:t>
      </w:r>
      <w:r w:rsidRPr="00FF5965">
        <w:rPr>
          <w:rFonts w:cs="Arial"/>
        </w:rPr>
        <w:t xml:space="preserve"> - (далее Порядок)</w:t>
      </w:r>
      <w:r w:rsidR="00FC17AE" w:rsidRPr="00FF5965">
        <w:rPr>
          <w:rFonts w:cs="Arial"/>
        </w:rPr>
        <w:t xml:space="preserve"> изложить в новой редакции, согласно приложению к настоящему постановлению.</w:t>
      </w:r>
    </w:p>
    <w:p w:rsidR="00CA7DF0" w:rsidRPr="00FF5965" w:rsidRDefault="00CA7DF0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2.Опубликовать </w:t>
      </w:r>
      <w:r w:rsidR="00FC17AE" w:rsidRPr="00FF5965">
        <w:rPr>
          <w:rFonts w:cs="Arial"/>
        </w:rPr>
        <w:t>п</w:t>
      </w:r>
      <w:r w:rsidRPr="00FF5965">
        <w:rPr>
          <w:rFonts w:cs="Arial"/>
        </w:rPr>
        <w:t>остановление администрации Калачеевского муниципального района</w:t>
      </w:r>
      <w:r w:rsidR="00FC17AE" w:rsidRPr="00FF5965">
        <w:rPr>
          <w:rFonts w:cs="Arial"/>
        </w:rPr>
        <w:t xml:space="preserve"> Воронежской области</w:t>
      </w:r>
      <w:r w:rsidRPr="00FF5965">
        <w:rPr>
          <w:rFonts w:cs="Arial"/>
        </w:rPr>
        <w:t xml:space="preserve"> в Вестнике муниципальных правовых актов Калачеевского муниципального района</w:t>
      </w:r>
      <w:r w:rsidR="00FC17AE" w:rsidRPr="00FF5965">
        <w:rPr>
          <w:rFonts w:cs="Arial"/>
        </w:rPr>
        <w:t xml:space="preserve"> Воронежской области</w:t>
      </w:r>
      <w:r w:rsidRPr="00FF5965">
        <w:rPr>
          <w:rFonts w:cs="Arial"/>
        </w:rPr>
        <w:t>.</w:t>
      </w:r>
    </w:p>
    <w:p w:rsidR="00FF5965" w:rsidRDefault="00CA7DF0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3. Контроль за исполнением настоящего </w:t>
      </w:r>
      <w:r w:rsidR="00DC28BE" w:rsidRPr="00FF5965">
        <w:rPr>
          <w:rFonts w:cs="Arial"/>
        </w:rPr>
        <w:t>п</w:t>
      </w:r>
      <w:r w:rsidRPr="00FF5965">
        <w:rPr>
          <w:rFonts w:cs="Arial"/>
        </w:rPr>
        <w:t>остановления 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5965" w:rsidRPr="00EA3B60" w:rsidTr="00EA3B60">
        <w:tc>
          <w:tcPr>
            <w:tcW w:w="3284" w:type="dxa"/>
            <w:shd w:val="clear" w:color="auto" w:fill="auto"/>
          </w:tcPr>
          <w:p w:rsidR="00FF5965" w:rsidRPr="00EA3B60" w:rsidRDefault="00FF5965" w:rsidP="00EA3B60">
            <w:pPr>
              <w:ind w:firstLine="0"/>
              <w:rPr>
                <w:rFonts w:cs="Arial"/>
              </w:rPr>
            </w:pPr>
            <w:r w:rsidRPr="00EA3B60">
              <w:rPr>
                <w:rFonts w:cs="Arial"/>
              </w:rPr>
              <w:t xml:space="preserve">Глава администрации Калачеевского </w:t>
            </w:r>
          </w:p>
          <w:p w:rsidR="00FF5965" w:rsidRPr="00EA3B60" w:rsidRDefault="00FF5965" w:rsidP="00EA3B60">
            <w:pPr>
              <w:ind w:firstLine="0"/>
              <w:rPr>
                <w:rFonts w:cs="Arial"/>
              </w:rPr>
            </w:pPr>
            <w:r w:rsidRPr="00EA3B60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F5965" w:rsidRPr="00EA3B60" w:rsidRDefault="00FF5965" w:rsidP="00EA3B6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F5965" w:rsidRPr="00EA3B60" w:rsidRDefault="00FF5965" w:rsidP="00EA3B60">
            <w:pPr>
              <w:ind w:firstLine="0"/>
              <w:rPr>
                <w:rFonts w:cs="Arial"/>
              </w:rPr>
            </w:pPr>
            <w:r w:rsidRPr="00EA3B60">
              <w:rPr>
                <w:rFonts w:cs="Arial"/>
              </w:rPr>
              <w:t>Н.Т. Котолевский</w:t>
            </w:r>
          </w:p>
          <w:p w:rsidR="00FF5965" w:rsidRPr="00EA3B60" w:rsidRDefault="00FF5965" w:rsidP="00EA3B60">
            <w:pPr>
              <w:ind w:firstLine="0"/>
              <w:rPr>
                <w:rFonts w:cs="Arial"/>
              </w:rPr>
            </w:pPr>
          </w:p>
        </w:tc>
      </w:tr>
    </w:tbl>
    <w:p w:rsidR="00DC28BE" w:rsidRPr="00FF5965" w:rsidRDefault="00DC28BE" w:rsidP="00FF5965">
      <w:pPr>
        <w:ind w:firstLine="709"/>
        <w:rPr>
          <w:rFonts w:cs="Arial"/>
        </w:rPr>
      </w:pPr>
      <w:r w:rsidRPr="00FF5965">
        <w:rPr>
          <w:rFonts w:cs="Arial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4473C" w:rsidRPr="00FF5965" w:rsidTr="00DC28B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473C" w:rsidRPr="00FF5965" w:rsidRDefault="00B4473C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5965" w:rsidRDefault="00FF5965" w:rsidP="00FF5965">
            <w:pPr>
              <w:ind w:firstLine="709"/>
              <w:contextualSpacing/>
              <w:rPr>
                <w:rFonts w:cs="Arial"/>
              </w:rPr>
            </w:pPr>
          </w:p>
          <w:p w:rsidR="00B4473C" w:rsidRPr="00FF5965" w:rsidRDefault="003E607C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Приложение</w:t>
            </w:r>
            <w:r w:rsidR="00DC28BE" w:rsidRPr="00FF5965">
              <w:rPr>
                <w:rFonts w:cs="Arial"/>
              </w:rPr>
              <w:t xml:space="preserve"> </w:t>
            </w:r>
            <w:r w:rsidR="00B4473C" w:rsidRPr="00FF5965">
              <w:rPr>
                <w:rFonts w:cs="Arial"/>
              </w:rPr>
              <w:t xml:space="preserve">к постановлению администрации Калачеевского муниципального района </w:t>
            </w:r>
            <w:r w:rsidR="00FF5965" w:rsidRPr="00FF5965">
              <w:rPr>
                <w:rFonts w:cs="Arial"/>
              </w:rPr>
              <w:t xml:space="preserve">Воронежской области от «15» июля </w:t>
            </w:r>
            <w:r w:rsidR="00DC28BE" w:rsidRPr="00FF5965">
              <w:rPr>
                <w:rFonts w:cs="Arial"/>
              </w:rPr>
              <w:t>2022 №</w:t>
            </w:r>
            <w:r w:rsidR="00FF5965" w:rsidRPr="00FF5965">
              <w:rPr>
                <w:rFonts w:cs="Arial"/>
              </w:rPr>
              <w:t xml:space="preserve"> 534</w:t>
            </w:r>
          </w:p>
        </w:tc>
      </w:tr>
    </w:tbl>
    <w:p w:rsidR="00FF5965" w:rsidRDefault="00FF5965" w:rsidP="00FF5965">
      <w:pPr>
        <w:ind w:firstLine="709"/>
        <w:contextualSpacing/>
        <w:rPr>
          <w:rFonts w:cs="Arial"/>
        </w:rPr>
      </w:pPr>
    </w:p>
    <w:p w:rsidR="00FF5965" w:rsidRDefault="00B4473C" w:rsidP="00FF596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ПОРЯДОК</w:t>
      </w:r>
      <w:r w:rsid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финансирования физку</w:t>
      </w:r>
      <w:r w:rsidR="00BA3024" w:rsidRPr="00FF5965">
        <w:rPr>
          <w:rFonts w:ascii="Arial" w:hAnsi="Arial" w:cs="Arial"/>
          <w:sz w:val="24"/>
          <w:szCs w:val="24"/>
        </w:rPr>
        <w:t>льтурных, спортивных и культурно</w:t>
      </w:r>
      <w:r w:rsidRPr="00FF5965">
        <w:rPr>
          <w:rFonts w:ascii="Arial" w:hAnsi="Arial" w:cs="Arial"/>
          <w:sz w:val="24"/>
          <w:szCs w:val="24"/>
        </w:rPr>
        <w:t>-массовых</w:t>
      </w:r>
      <w:r w:rsid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мероприятий в</w:t>
      </w:r>
      <w:r w:rsid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bCs/>
          <w:sz w:val="24"/>
          <w:szCs w:val="24"/>
        </w:rPr>
        <w:t>рамках муниципальной программы</w:t>
      </w:r>
      <w:r w:rsidR="00FF5965">
        <w:rPr>
          <w:rFonts w:ascii="Arial" w:hAnsi="Arial" w:cs="Arial"/>
          <w:bCs/>
          <w:sz w:val="24"/>
          <w:szCs w:val="24"/>
        </w:rPr>
        <w:t xml:space="preserve"> </w:t>
      </w:r>
      <w:r w:rsidRPr="00FF5965">
        <w:rPr>
          <w:rFonts w:ascii="Arial" w:hAnsi="Arial" w:cs="Arial"/>
          <w:bCs/>
          <w:sz w:val="24"/>
          <w:szCs w:val="24"/>
        </w:rPr>
        <w:t>«Развитие физической культуры, спорта</w:t>
      </w:r>
      <w:r w:rsidR="00FF5965">
        <w:rPr>
          <w:rFonts w:ascii="Arial" w:hAnsi="Arial" w:cs="Arial"/>
          <w:bCs/>
          <w:sz w:val="24"/>
          <w:szCs w:val="24"/>
        </w:rPr>
        <w:t xml:space="preserve"> </w:t>
      </w:r>
      <w:r w:rsidRPr="00FF5965">
        <w:rPr>
          <w:rFonts w:ascii="Arial" w:hAnsi="Arial" w:cs="Arial"/>
          <w:bCs/>
          <w:sz w:val="24"/>
          <w:szCs w:val="24"/>
        </w:rPr>
        <w:t>и молодёжной политики</w:t>
      </w:r>
      <w:r w:rsidR="00FF5965">
        <w:rPr>
          <w:rFonts w:ascii="Arial" w:hAnsi="Arial" w:cs="Arial"/>
          <w:bCs/>
          <w:sz w:val="24"/>
          <w:szCs w:val="24"/>
        </w:rPr>
        <w:t xml:space="preserve"> </w:t>
      </w:r>
      <w:r w:rsidRPr="00FF5965">
        <w:rPr>
          <w:rFonts w:ascii="Arial" w:hAnsi="Arial" w:cs="Arial"/>
          <w:bCs/>
          <w:sz w:val="24"/>
          <w:szCs w:val="24"/>
        </w:rPr>
        <w:t>в Калачеевском муниципальном районе на 2020-2026 годы»</w:t>
      </w:r>
    </w:p>
    <w:p w:rsidR="00C120F8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>1. Общее положение</w:t>
      </w:r>
    </w:p>
    <w:p w:rsidR="003972DF" w:rsidRPr="00FF5965" w:rsidRDefault="003972DF" w:rsidP="00FF5965">
      <w:pPr>
        <w:ind w:firstLine="709"/>
        <w:contextualSpacing/>
        <w:rPr>
          <w:rFonts w:cs="Arial"/>
        </w:rPr>
      </w:pPr>
      <w:r w:rsidRPr="00FF5965">
        <w:rPr>
          <w:rFonts w:cs="Arial"/>
        </w:rPr>
        <w:t>1.</w:t>
      </w:r>
      <w:r w:rsidR="00C120F8" w:rsidRPr="00FF5965">
        <w:rPr>
          <w:rFonts w:cs="Arial"/>
        </w:rPr>
        <w:t>1</w:t>
      </w:r>
      <w:r w:rsidRPr="00FF5965">
        <w:rPr>
          <w:rFonts w:cs="Arial"/>
        </w:rPr>
        <w:t xml:space="preserve"> </w:t>
      </w:r>
      <w:r w:rsidR="00025B91" w:rsidRPr="00FF5965">
        <w:rPr>
          <w:rFonts w:cs="Arial"/>
        </w:rPr>
        <w:t xml:space="preserve">Настоящий Порядок </w:t>
      </w:r>
      <w:r w:rsidRPr="00FF5965">
        <w:rPr>
          <w:rFonts w:cs="Arial"/>
        </w:rPr>
        <w:t>регламентирует</w:t>
      </w:r>
      <w:r w:rsidR="00025B91" w:rsidRPr="00FF5965">
        <w:rPr>
          <w:rFonts w:cs="Arial"/>
        </w:rPr>
        <w:t xml:space="preserve"> </w:t>
      </w:r>
      <w:r w:rsidRPr="00FF5965">
        <w:rPr>
          <w:rFonts w:cs="Arial"/>
        </w:rPr>
        <w:t xml:space="preserve">финансовое обеспечение физкультурных, спортивных и культурно-массовых мероприятий (далее – мероприятия), предусмотренных Единым календарным планом официальных мероприятий Воронежской области, включенных в Единый </w:t>
      </w:r>
      <w:r w:rsidR="004206AB" w:rsidRPr="00FF5965">
        <w:rPr>
          <w:rFonts w:cs="Arial"/>
        </w:rPr>
        <w:t>календарный план мероприятий МКУ</w:t>
      </w:r>
      <w:r w:rsidRPr="00FF5965">
        <w:rPr>
          <w:rFonts w:cs="Arial"/>
        </w:rPr>
        <w:t xml:space="preserve"> «</w:t>
      </w:r>
      <w:r w:rsidR="004206AB" w:rsidRPr="00FF5965">
        <w:rPr>
          <w:rFonts w:cs="Arial"/>
        </w:rPr>
        <w:t>Управление по физической культуре и спорту Калачеевского муниципального района</w:t>
      </w:r>
      <w:r w:rsidRPr="00FF5965">
        <w:rPr>
          <w:rFonts w:cs="Arial"/>
        </w:rPr>
        <w:t>».</w:t>
      </w:r>
    </w:p>
    <w:p w:rsidR="00025B91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>1.2</w:t>
      </w:r>
      <w:r w:rsidR="003972DF" w:rsidRPr="00FF5965">
        <w:rPr>
          <w:rFonts w:cs="Arial"/>
        </w:rPr>
        <w:t xml:space="preserve"> Участники физкультурных и спортивных мероприятий – спортсмен, спортивный судья, тренер, специалист в области молодежной политики, врач, медицинская сестра, волонтер, а так же другие специалисты, деятельность которых предусмотрена положением о соревновании, и иными регламентирующими актами.</w:t>
      </w:r>
    </w:p>
    <w:p w:rsidR="003972DF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>1.3</w:t>
      </w:r>
      <w:r w:rsidR="003972DF" w:rsidRPr="00FF5965">
        <w:rPr>
          <w:rFonts w:cs="Arial"/>
        </w:rPr>
        <w:t xml:space="preserve"> Настоящий Порядок </w:t>
      </w:r>
      <w:r w:rsidRPr="00FF5965">
        <w:rPr>
          <w:rFonts w:cs="Arial"/>
        </w:rPr>
        <w:t>определяет финансовое обеспечение сборных команд района, их подготовку и участие в мероприятиях.</w:t>
      </w:r>
    </w:p>
    <w:p w:rsidR="00C120F8" w:rsidRPr="00FF5965" w:rsidRDefault="00C120F8" w:rsidP="00FF5965">
      <w:pPr>
        <w:ind w:firstLine="709"/>
        <w:contextualSpacing/>
        <w:rPr>
          <w:rFonts w:cs="Arial"/>
        </w:rPr>
      </w:pPr>
      <w:r w:rsidRPr="00FF5965">
        <w:rPr>
          <w:rFonts w:cs="Arial"/>
        </w:rPr>
        <w:t>1.4</w:t>
      </w:r>
      <w:r w:rsidR="003972DF" w:rsidRPr="00FF5965">
        <w:rPr>
          <w:rFonts w:cs="Arial"/>
        </w:rPr>
        <w:t xml:space="preserve"> </w:t>
      </w:r>
      <w:r w:rsidRPr="00FF5965">
        <w:rPr>
          <w:rFonts w:cs="Arial"/>
        </w:rPr>
        <w:t>Направление команд и участников на мероприятия осуществляется на основании официального положения (регламента, вызова) проводящих мероприятия организаций.</w:t>
      </w:r>
    </w:p>
    <w:p w:rsidR="003972DF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>1.5 Основные правила и финансовые условия проведения мероприятий устанавливаются в положениях (регламентах, вызовах) проводящих мероприятия организаций.</w:t>
      </w:r>
    </w:p>
    <w:p w:rsidR="004206AB" w:rsidRPr="00FF5965" w:rsidRDefault="00C120F8" w:rsidP="00FF5965">
      <w:pPr>
        <w:ind w:firstLine="709"/>
        <w:contextualSpacing/>
        <w:rPr>
          <w:rFonts w:cs="Arial"/>
        </w:rPr>
      </w:pPr>
      <w:r w:rsidRPr="00FF5965">
        <w:rPr>
          <w:rFonts w:cs="Arial"/>
        </w:rPr>
        <w:t>1.6 Нормативы финансирования мероприятий утверждаются с учётом сложившихся на территории Воронежской области цен и действующих тарифов, обеспечивающих наиболее экономичное проведение мероприятий и рациональное использование бюджетных средств.</w:t>
      </w:r>
    </w:p>
    <w:p w:rsidR="00C120F8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>2. Финансирование мероприятий</w:t>
      </w:r>
    </w:p>
    <w:p w:rsidR="00E6326A" w:rsidRPr="00FF5965" w:rsidRDefault="00C120F8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2.1 В соответствии с настоящим Порядком, к нормам на материальное обеспечение участников мероприятий относятся – питание, </w:t>
      </w:r>
      <w:r w:rsidR="003318A7" w:rsidRPr="00FF5965">
        <w:rPr>
          <w:rFonts w:cs="Arial"/>
        </w:rPr>
        <w:t>фармакологические восстановительные средства, витамины, белково-глюкозные препараты, другие средства; расходы</w:t>
      </w:r>
      <w:r w:rsidRPr="00FF5965">
        <w:rPr>
          <w:rFonts w:cs="Arial"/>
        </w:rPr>
        <w:t xml:space="preserve"> </w:t>
      </w:r>
      <w:r w:rsidR="003318A7" w:rsidRPr="00FF5965">
        <w:rPr>
          <w:rFonts w:cs="Arial"/>
        </w:rPr>
        <w:t xml:space="preserve">связанные с – приобретением </w:t>
      </w:r>
      <w:r w:rsidRPr="00FF5965">
        <w:rPr>
          <w:rFonts w:cs="Arial"/>
        </w:rPr>
        <w:t xml:space="preserve">памятных призов, </w:t>
      </w:r>
      <w:r w:rsidR="003318A7" w:rsidRPr="00FF5965">
        <w:rPr>
          <w:rFonts w:cs="Arial"/>
        </w:rPr>
        <w:t>оплатой</w:t>
      </w:r>
      <w:r w:rsidRPr="00FF5965">
        <w:rPr>
          <w:rFonts w:cs="Arial"/>
        </w:rPr>
        <w:t xml:space="preserve"> за использование спортивных сооружений, </w:t>
      </w:r>
      <w:r w:rsidR="003318A7" w:rsidRPr="00FF5965">
        <w:rPr>
          <w:rFonts w:cs="Arial"/>
        </w:rPr>
        <w:t>оплатой транспортных расходов</w:t>
      </w:r>
      <w:r w:rsidRPr="00FF5965">
        <w:rPr>
          <w:rFonts w:cs="Arial"/>
        </w:rPr>
        <w:t>,</w:t>
      </w:r>
      <w:r w:rsidR="003318A7" w:rsidRPr="00FF5965">
        <w:rPr>
          <w:rFonts w:cs="Arial"/>
        </w:rPr>
        <w:t xml:space="preserve"> оплатой канцелярских</w:t>
      </w:r>
      <w:r w:rsidRPr="00FF5965">
        <w:rPr>
          <w:rFonts w:cs="Arial"/>
        </w:rPr>
        <w:t xml:space="preserve"> рас</w:t>
      </w:r>
      <w:r w:rsidR="003318A7" w:rsidRPr="00FF5965">
        <w:rPr>
          <w:rFonts w:cs="Arial"/>
        </w:rPr>
        <w:t>ходов, оплатой найма жилого помещения, оплатой</w:t>
      </w:r>
      <w:r w:rsidRPr="00FF5965">
        <w:rPr>
          <w:rFonts w:cs="Arial"/>
        </w:rPr>
        <w:t xml:space="preserve"> судейства, </w:t>
      </w:r>
      <w:r w:rsidR="003318A7" w:rsidRPr="00FF5965">
        <w:rPr>
          <w:rFonts w:cs="Arial"/>
        </w:rPr>
        <w:t xml:space="preserve">оплатой </w:t>
      </w:r>
      <w:r w:rsidRPr="00FF5965">
        <w:rPr>
          <w:rFonts w:cs="Arial"/>
        </w:rPr>
        <w:t>труда о</w:t>
      </w:r>
      <w:r w:rsidR="003318A7" w:rsidRPr="00FF5965">
        <w:rPr>
          <w:rFonts w:cs="Arial"/>
        </w:rPr>
        <w:t>бслуживающего персонала, выплатой</w:t>
      </w:r>
      <w:r w:rsidRPr="00FF5965">
        <w:rPr>
          <w:rFonts w:cs="Arial"/>
        </w:rPr>
        <w:t xml:space="preserve"> премий участникам мероприятий, расходы по оплате членских, организационных взносов для участия в мероприятиях в соответствии с размерами, установленными в положениях (регламентах) о проведении указанных мероприятий и другие виды материального обеспечения участников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мероприятий.</w:t>
      </w:r>
    </w:p>
    <w:p w:rsidR="00E6326A" w:rsidRPr="00FF5965" w:rsidRDefault="00E6326A" w:rsidP="00FF5965">
      <w:pPr>
        <w:ind w:firstLine="709"/>
        <w:rPr>
          <w:rFonts w:cs="Arial"/>
        </w:rPr>
      </w:pPr>
      <w:r w:rsidRPr="00FF5965">
        <w:rPr>
          <w:rFonts w:cs="Arial"/>
        </w:rPr>
        <w:t>3. Порядок расходования средств</w:t>
      </w:r>
    </w:p>
    <w:p w:rsidR="00E6326A" w:rsidRPr="00FF5965" w:rsidRDefault="00E6326A" w:rsidP="00FF5965">
      <w:pPr>
        <w:ind w:firstLine="709"/>
        <w:rPr>
          <w:rFonts w:cs="Arial"/>
        </w:rPr>
      </w:pPr>
      <w:r w:rsidRPr="00FF5965">
        <w:rPr>
          <w:rFonts w:cs="Arial"/>
        </w:rPr>
        <w:lastRenderedPageBreak/>
        <w:t xml:space="preserve">3.1 </w:t>
      </w:r>
      <w:r w:rsidR="00B249BB" w:rsidRPr="00FF5965">
        <w:rPr>
          <w:rFonts w:cs="Arial"/>
        </w:rPr>
        <w:t>Настоящим Порядком, при проведении мероприятий на территории Калачеевского муниципального района и за его пределами</w:t>
      </w:r>
      <w:r w:rsidR="004206AB" w:rsidRPr="00FF5965">
        <w:rPr>
          <w:rFonts w:cs="Arial"/>
        </w:rPr>
        <w:t xml:space="preserve"> в установленном порядке</w:t>
      </w:r>
      <w:r w:rsidR="00B249BB" w:rsidRPr="00FF5965">
        <w:rPr>
          <w:rFonts w:cs="Arial"/>
        </w:rPr>
        <w:t xml:space="preserve"> утверждаются: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>а) положение о соревнованиях, иные документы, регламентирующие порядок проведения мероприятий;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>б) сметы, включающие количественный состав участников мероприятий, сроки их проведения и нормы материального обеспечения.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3.2 Расходы на питание, фармакологические и другие препараты участников мероприятий и учебно-тренировочных сборов (спортсменов, тренеров, специалистов и другого обслуживающего персонала), оплата судейства, призы победителям мероприятий и другие поощрительные выплаты производятся в соответствии с приложениями </w:t>
      </w:r>
      <w:r w:rsidR="008A4AD1" w:rsidRPr="00FF5965">
        <w:rPr>
          <w:rFonts w:cs="Arial"/>
        </w:rPr>
        <w:t>1, 2, 3, 4 и 5</w:t>
      </w:r>
      <w:r w:rsidRPr="00FF5965">
        <w:rPr>
          <w:rFonts w:cs="Arial"/>
        </w:rPr>
        <w:t xml:space="preserve"> к настоящему Порядку.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3.3 Расходы по оплате проезда и найма жилого помещения на мероприятия и обратно, </w:t>
      </w:r>
      <w:r w:rsidR="004206AB" w:rsidRPr="00FF5965">
        <w:rPr>
          <w:rFonts w:cs="Arial"/>
        </w:rPr>
        <w:t xml:space="preserve">производятся по </w:t>
      </w:r>
      <w:r w:rsidRPr="00FF5965">
        <w:rPr>
          <w:rFonts w:cs="Arial"/>
        </w:rPr>
        <w:t>соответствующими докум</w:t>
      </w:r>
      <w:r w:rsidR="004206AB" w:rsidRPr="00FF5965">
        <w:rPr>
          <w:rFonts w:cs="Arial"/>
        </w:rPr>
        <w:t>ентами.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>3.4 Расходы по аренде спортивных сооружений и оборудования, транспортные, канцелярские, почтово-телеграфные и другие расходы производятся по действующим в отраслях расценкам или договорным ценам, в объёмах, обеспечивающих наиболее экономичное проведение мероприятий и рациональное использование средств.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>3.5 Для проведения мероприятий, оплаты привлеченных специалистов могут использоваться сре</w:t>
      </w:r>
      <w:r w:rsidR="004206AB" w:rsidRPr="00FF5965">
        <w:rPr>
          <w:rFonts w:cs="Arial"/>
        </w:rPr>
        <w:t>дства, получаемые учреждением из бюджета Калачеевского муниципального района, от</w:t>
      </w:r>
      <w:r w:rsidRPr="00FF5965">
        <w:rPr>
          <w:rFonts w:cs="Arial"/>
        </w:rPr>
        <w:t xml:space="preserve"> оказания платных услуг населению, а также средства, образованные за счет благотворительной помощи, добровольных пожертвований, заявочных взносов и иных источников.</w:t>
      </w:r>
    </w:p>
    <w:p w:rsidR="00B249BB" w:rsidRPr="00FF5965" w:rsidRDefault="004206AB" w:rsidP="00FF5965">
      <w:pPr>
        <w:ind w:firstLine="709"/>
        <w:rPr>
          <w:rFonts w:cs="Arial"/>
        </w:rPr>
      </w:pPr>
      <w:r w:rsidRPr="00FF5965">
        <w:rPr>
          <w:rFonts w:cs="Arial"/>
        </w:rPr>
        <w:t>3.6</w:t>
      </w:r>
      <w:r w:rsidR="00B249BB" w:rsidRPr="00FF5965">
        <w:rPr>
          <w:rFonts w:cs="Arial"/>
        </w:rPr>
        <w:t xml:space="preserve"> Расходы по оплате труда привлечённых специалистов и обслуживающего персонала производятся на основании заключенных договоров гражданско-правового характера. </w:t>
      </w:r>
    </w:p>
    <w:p w:rsidR="00B249BB" w:rsidRPr="00FF5965" w:rsidRDefault="004206AB" w:rsidP="00FF5965">
      <w:pPr>
        <w:ind w:firstLine="709"/>
        <w:rPr>
          <w:rFonts w:cs="Arial"/>
        </w:rPr>
      </w:pPr>
      <w:r w:rsidRPr="00FF5965">
        <w:rPr>
          <w:rFonts w:cs="Arial"/>
        </w:rPr>
        <w:t>3.7</w:t>
      </w:r>
      <w:r w:rsidR="00B249BB" w:rsidRPr="00FF5965">
        <w:rPr>
          <w:rFonts w:cs="Arial"/>
        </w:rPr>
        <w:t xml:space="preserve"> Возмещение затрат по командированию и заработной плате участникам мероприятий производятся по нормам, установленным законодательством.</w:t>
      </w:r>
    </w:p>
    <w:p w:rsidR="00B249B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>4. Порядок финансирования мероприятий</w:t>
      </w:r>
    </w:p>
    <w:p w:rsidR="004206AB" w:rsidRPr="00FF5965" w:rsidRDefault="00B249BB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4.1 </w:t>
      </w:r>
      <w:r w:rsidR="004206AB" w:rsidRPr="00FF5965">
        <w:rPr>
          <w:rFonts w:cs="Arial"/>
        </w:rPr>
        <w:t>Источниками финансирования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</w:t>
      </w:r>
    </w:p>
    <w:p w:rsidR="008A4AD1" w:rsidRPr="00FF5965" w:rsidRDefault="004206AB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4.2 </w:t>
      </w:r>
      <w:r w:rsidR="00B249BB" w:rsidRPr="00FF5965">
        <w:rPr>
          <w:rFonts w:cs="Arial"/>
        </w:rPr>
        <w:t xml:space="preserve">Финансирование обеспечения мероприятий </w:t>
      </w:r>
      <w:r w:rsidR="008A4AD1" w:rsidRPr="00FF5965">
        <w:rPr>
          <w:rFonts w:cs="Arial"/>
        </w:rPr>
        <w:t>производятся за счет бюджетных источников финансирования в пределах имеющихся средств, на основании утвержденной сметы расходов, предусмотренной на эти цели в нормативных актах Калачеевского муниципального района о бюджете на соответствующий финансовый год и плановый период.</w:t>
      </w:r>
    </w:p>
    <w:p w:rsidR="008A4AD1" w:rsidRPr="00FF5965" w:rsidRDefault="008A4AD1" w:rsidP="00FF5965">
      <w:pPr>
        <w:ind w:firstLine="709"/>
        <w:rPr>
          <w:rFonts w:cs="Arial"/>
        </w:rPr>
      </w:pPr>
      <w:r w:rsidRPr="00FF5965">
        <w:rPr>
          <w:rFonts w:cs="Arial"/>
        </w:rPr>
        <w:t>4.3 В соответствии с нормами расходов на реализацию календарного плана мероприятий могут осуществляться расходы согласно приложению к настоящему Порядку</w:t>
      </w:r>
    </w:p>
    <w:p w:rsidR="00FF5965" w:rsidRDefault="008A4AD1" w:rsidP="00FF5965">
      <w:pPr>
        <w:ind w:firstLine="709"/>
        <w:rPr>
          <w:rFonts w:cs="Arial"/>
        </w:rPr>
      </w:pPr>
      <w:r w:rsidRPr="00FF5965">
        <w:rPr>
          <w:rFonts w:cs="Arial"/>
        </w:rPr>
        <w:t>4.4 Расходы на материальное обеспечение мероприятий производятся за счет соответствующих источников финансирования в пределах имеющихся средств, на основании утвержденной сметы расходов на каждое конкретное мероприятие в соответствии с утвержденными нормами.</w:t>
      </w: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C04D6D" w:rsidP="00FF5965">
      <w:pPr>
        <w:pStyle w:val="a7"/>
        <w:ind w:left="5529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Приложение № 1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="008A4AD1" w:rsidRPr="00FF5965">
        <w:rPr>
          <w:rFonts w:ascii="Arial" w:hAnsi="Arial" w:cs="Arial"/>
          <w:sz w:val="24"/>
          <w:szCs w:val="24"/>
        </w:rPr>
        <w:t>к Порядку финансирования</w:t>
      </w:r>
      <w:r w:rsidR="00DC28BE" w:rsidRPr="00FF5965">
        <w:rPr>
          <w:rFonts w:ascii="Arial" w:hAnsi="Arial" w:cs="Arial"/>
          <w:sz w:val="24"/>
          <w:szCs w:val="24"/>
        </w:rPr>
        <w:t xml:space="preserve"> ф</w:t>
      </w:r>
      <w:r w:rsidR="008A4AD1" w:rsidRPr="00FF5965">
        <w:rPr>
          <w:rFonts w:ascii="Arial" w:hAnsi="Arial" w:cs="Arial"/>
          <w:sz w:val="24"/>
          <w:szCs w:val="24"/>
        </w:rPr>
        <w:t>изкультурных, спортивных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="008A4AD1" w:rsidRPr="00FF5965">
        <w:rPr>
          <w:rFonts w:ascii="Arial" w:hAnsi="Arial" w:cs="Arial"/>
          <w:sz w:val="24"/>
          <w:szCs w:val="24"/>
        </w:rPr>
        <w:t>и культурно-массовых мероприятий</w:t>
      </w:r>
    </w:p>
    <w:p w:rsidR="008A4AD1" w:rsidRPr="00FF5965" w:rsidRDefault="00C22E41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Нормы расходов </w:t>
      </w:r>
      <w:r w:rsidR="008A4AD1" w:rsidRPr="00FF5965">
        <w:rPr>
          <w:rFonts w:cs="Arial"/>
        </w:rPr>
        <w:t>на обеспечение автотранспортом участников спортивных и физкультурных мероприятий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44"/>
        <w:gridCol w:w="4081"/>
      </w:tblGrid>
      <w:tr w:rsidR="00FF5965" w:rsidRPr="00FF5965" w:rsidTr="00FF5965">
        <w:tc>
          <w:tcPr>
            <w:tcW w:w="543" w:type="dxa"/>
            <w:shd w:val="clear" w:color="auto" w:fill="auto"/>
          </w:tcPr>
          <w:p w:rsidR="00FF02A3" w:rsidRPr="00FF5965" w:rsidRDefault="00FF02A3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№ п/п</w:t>
            </w:r>
          </w:p>
        </w:tc>
        <w:tc>
          <w:tcPr>
            <w:tcW w:w="4844" w:type="dxa"/>
            <w:shd w:val="clear" w:color="auto" w:fill="auto"/>
          </w:tcPr>
          <w:p w:rsidR="00FF02A3" w:rsidRPr="00FF5965" w:rsidRDefault="008A4AD1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Вид транспорта</w:t>
            </w:r>
          </w:p>
        </w:tc>
        <w:tc>
          <w:tcPr>
            <w:tcW w:w="4081" w:type="dxa"/>
            <w:shd w:val="clear" w:color="auto" w:fill="auto"/>
          </w:tcPr>
          <w:p w:rsidR="008A4AD1" w:rsidRPr="00FF5965" w:rsidRDefault="008A4AD1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Стоимость услуги </w:t>
            </w:r>
          </w:p>
          <w:p w:rsidR="00FF02A3" w:rsidRPr="00FF5965" w:rsidRDefault="008A4AD1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(в руб.)</w:t>
            </w:r>
          </w:p>
        </w:tc>
      </w:tr>
      <w:tr w:rsidR="00FF5965" w:rsidRPr="00FF5965" w:rsidTr="00FF5965">
        <w:trPr>
          <w:trHeight w:val="171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1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Услуги по предоставлению в аренду микроавтобуса до 20 посадочных мест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E607C" w:rsidRPr="00FF5965">
              <w:rPr>
                <w:rFonts w:cs="Arial"/>
              </w:rPr>
              <w:t>1800</w:t>
            </w:r>
            <w:r w:rsidR="0055061D" w:rsidRPr="00FF5965">
              <w:rPr>
                <w:rFonts w:cs="Arial"/>
              </w:rPr>
              <w:t>,00</w:t>
            </w:r>
            <w:r w:rsidR="004A192E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243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2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Услуги по предоставлению в аренду автобуса от 21 до 40 посадочных мест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E607C" w:rsidRPr="00FF5965">
              <w:rPr>
                <w:rFonts w:cs="Arial"/>
              </w:rPr>
              <w:t>2200</w:t>
            </w:r>
            <w:r w:rsidR="0055061D" w:rsidRPr="00FF5965">
              <w:rPr>
                <w:rFonts w:cs="Arial"/>
              </w:rPr>
              <w:t>,00</w:t>
            </w:r>
            <w:r w:rsidR="004A192E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168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3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Услуги по предоставлению в аренду автобуса от 41 до 50 посадочных мест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E607C" w:rsidRPr="00FF5965">
              <w:rPr>
                <w:rFonts w:cs="Arial"/>
              </w:rPr>
              <w:t>2600</w:t>
            </w:r>
            <w:r w:rsidR="0055061D" w:rsidRPr="00FF5965">
              <w:rPr>
                <w:rFonts w:cs="Arial"/>
              </w:rPr>
              <w:t>,00</w:t>
            </w:r>
            <w:r w:rsidR="004A192E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171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4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Автомобиль «Скорая медицинская помощь»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CC1B1F" w:rsidRPr="00FF5965">
              <w:rPr>
                <w:rFonts w:cs="Arial"/>
              </w:rPr>
              <w:t>2300</w:t>
            </w:r>
            <w:r w:rsidR="0055061D" w:rsidRPr="00FF5965">
              <w:rPr>
                <w:rFonts w:cs="Arial"/>
              </w:rPr>
              <w:t>,00</w:t>
            </w:r>
            <w:r w:rsidR="00CC1B1F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171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5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CC1B1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Услуги по предоставлению грузового автотранспорта грузоподъемностью до 3,5 тонны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CC1B1F" w:rsidRPr="00FF5965">
              <w:rPr>
                <w:rFonts w:cs="Arial"/>
              </w:rPr>
              <w:t>1000</w:t>
            </w:r>
            <w:r w:rsidR="0055061D" w:rsidRPr="00FF5965">
              <w:rPr>
                <w:rFonts w:cs="Arial"/>
              </w:rPr>
              <w:t>,00</w:t>
            </w:r>
            <w:r w:rsidR="00CC1B1F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168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6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CC1B1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Услуги по предоставлению грузового автотранспорта грузоподъемностью свыше 3,5 тонны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CC1B1F" w:rsidRPr="00FF5965">
              <w:rPr>
                <w:rFonts w:cs="Arial"/>
              </w:rPr>
              <w:t>1400</w:t>
            </w:r>
            <w:r w:rsidR="0055061D" w:rsidRPr="00FF5965">
              <w:rPr>
                <w:rFonts w:cs="Arial"/>
              </w:rPr>
              <w:t>,00</w:t>
            </w:r>
            <w:r w:rsidR="00CC1B1F" w:rsidRPr="00FF5965">
              <w:rPr>
                <w:rFonts w:cs="Arial"/>
              </w:rPr>
              <w:t xml:space="preserve"> рублей/час</w:t>
            </w:r>
          </w:p>
        </w:tc>
      </w:tr>
      <w:tr w:rsidR="00FF5965" w:rsidRPr="00FF5965" w:rsidTr="00FF5965">
        <w:trPr>
          <w:trHeight w:val="227"/>
        </w:trPr>
        <w:tc>
          <w:tcPr>
            <w:tcW w:w="543" w:type="dxa"/>
            <w:shd w:val="clear" w:color="auto" w:fill="auto"/>
          </w:tcPr>
          <w:p w:rsidR="004A192E" w:rsidRPr="00FF5965" w:rsidRDefault="004A192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7</w:t>
            </w:r>
          </w:p>
        </w:tc>
        <w:tc>
          <w:tcPr>
            <w:tcW w:w="4844" w:type="dxa"/>
            <w:shd w:val="clear" w:color="auto" w:fill="auto"/>
          </w:tcPr>
          <w:p w:rsidR="004A192E" w:rsidRPr="00FF5965" w:rsidRDefault="00CC1B1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Легковой автомобиль</w:t>
            </w:r>
          </w:p>
        </w:tc>
        <w:tc>
          <w:tcPr>
            <w:tcW w:w="4081" w:type="dxa"/>
            <w:shd w:val="clear" w:color="auto" w:fill="auto"/>
          </w:tcPr>
          <w:p w:rsidR="004A192E" w:rsidRPr="00FF5965" w:rsidRDefault="00FC17AE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CC1B1F" w:rsidRPr="00FF5965">
              <w:rPr>
                <w:rFonts w:cs="Arial"/>
              </w:rPr>
              <w:t>750</w:t>
            </w:r>
            <w:r w:rsidR="0055061D" w:rsidRPr="00FF5965">
              <w:rPr>
                <w:rFonts w:cs="Arial"/>
              </w:rPr>
              <w:t>,00</w:t>
            </w:r>
            <w:r w:rsidR="00CC1B1F" w:rsidRPr="00FF5965">
              <w:rPr>
                <w:rFonts w:cs="Arial"/>
              </w:rPr>
              <w:t xml:space="preserve"> рублей/час</w:t>
            </w:r>
          </w:p>
        </w:tc>
      </w:tr>
    </w:tbl>
    <w:p w:rsidR="0055061D" w:rsidRPr="00FF5965" w:rsidRDefault="007B5A5D" w:rsidP="00FF5965">
      <w:pPr>
        <w:ind w:firstLine="709"/>
        <w:rPr>
          <w:rFonts w:cs="Arial"/>
        </w:rPr>
      </w:pPr>
      <w:r w:rsidRPr="00FF5965">
        <w:rPr>
          <w:rFonts w:cs="Arial"/>
        </w:rPr>
        <w:t>Примечания:</w:t>
      </w:r>
    </w:p>
    <w:p w:rsidR="0055061D" w:rsidRPr="00FF5965" w:rsidRDefault="007B5A5D" w:rsidP="00FF5965">
      <w:pPr>
        <w:ind w:firstLine="709"/>
        <w:rPr>
          <w:rFonts w:cs="Arial"/>
        </w:rPr>
      </w:pPr>
      <w:r w:rsidRPr="00FF5965">
        <w:rPr>
          <w:rFonts w:cs="Arial"/>
        </w:rPr>
        <w:t>1.</w:t>
      </w:r>
      <w:r w:rsidR="00B3581F" w:rsidRPr="00FF5965">
        <w:rPr>
          <w:rFonts w:cs="Arial"/>
        </w:rPr>
        <w:t xml:space="preserve"> </w:t>
      </w:r>
      <w:r w:rsidR="0055061D" w:rsidRPr="00FF5965">
        <w:rPr>
          <w:rFonts w:cs="Arial"/>
        </w:rPr>
        <w:t>Организации, проводящие мероприятия за счет собственных, спонсорских и прочих привлеченных средств имеют право производить доплату к установленным нормам расходов на обеспечение автотранспортом участников мероприятий.</w:t>
      </w:r>
    </w:p>
    <w:p w:rsidR="007B5A5D" w:rsidRPr="00FF5965" w:rsidRDefault="0055061D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2. </w:t>
      </w:r>
      <w:r w:rsidR="007B5A5D" w:rsidRPr="00FF5965">
        <w:rPr>
          <w:rFonts w:cs="Arial"/>
        </w:rPr>
        <w:t>Стоимость услуг по предоставлению автотранспортных средств на междугородние перевозки рассчитывается из расчета до 50 рублей/км</w:t>
      </w:r>
      <w:r w:rsidR="001742DF" w:rsidRPr="00FF5965">
        <w:rPr>
          <w:rFonts w:cs="Arial"/>
        </w:rPr>
        <w:t>.</w:t>
      </w:r>
    </w:p>
    <w:p w:rsidR="0055061D" w:rsidRPr="00FF5965" w:rsidRDefault="00B3581F" w:rsidP="00FF5965">
      <w:pPr>
        <w:ind w:firstLine="709"/>
        <w:rPr>
          <w:rFonts w:cs="Arial"/>
        </w:rPr>
      </w:pPr>
      <w:r w:rsidRPr="00FF5965">
        <w:rPr>
          <w:rFonts w:cs="Arial"/>
        </w:rPr>
        <w:t>3</w:t>
      </w:r>
      <w:r w:rsidR="007B5A5D" w:rsidRPr="00FF5965">
        <w:rPr>
          <w:rFonts w:cs="Arial"/>
        </w:rPr>
        <w:t xml:space="preserve">. </w:t>
      </w:r>
      <w:r w:rsidR="0055061D" w:rsidRPr="00FF5965">
        <w:rPr>
          <w:rFonts w:cs="Arial"/>
        </w:rPr>
        <w:t xml:space="preserve">Аренда автотранспорта не должна превышать 12 часов в день. </w:t>
      </w:r>
    </w:p>
    <w:p w:rsidR="00FF5965" w:rsidRDefault="00B3581F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4. </w:t>
      </w:r>
      <w:r w:rsidR="0055061D" w:rsidRPr="00FF5965">
        <w:rPr>
          <w:rFonts w:cs="Arial"/>
        </w:rPr>
        <w:t>Оплата автоконструкций по перевозке спортивного оборудования, инвентаря производится по договорам с организациями без учета норм расхода.</w:t>
      </w:r>
    </w:p>
    <w:p w:rsidR="00DC28BE" w:rsidRPr="00FF5965" w:rsidRDefault="00DC28BE" w:rsidP="00FF5965">
      <w:pPr>
        <w:ind w:firstLine="709"/>
        <w:rPr>
          <w:rFonts w:cs="Arial"/>
        </w:rPr>
      </w:pPr>
      <w:r w:rsidRPr="00FF5965">
        <w:rPr>
          <w:rFonts w:cs="Arial"/>
        </w:rPr>
        <w:br w:type="page"/>
      </w:r>
    </w:p>
    <w:p w:rsidR="00FF5965" w:rsidRDefault="0055061D" w:rsidP="00FF5965">
      <w:pPr>
        <w:pStyle w:val="a7"/>
        <w:ind w:left="5670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Приложение № 2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к Порядку финансирования</w:t>
      </w:r>
      <w:r w:rsidR="00FF5965">
        <w:rPr>
          <w:rFonts w:ascii="Arial" w:hAnsi="Arial" w:cs="Arial"/>
          <w:sz w:val="24"/>
          <w:szCs w:val="24"/>
        </w:rPr>
        <w:t xml:space="preserve"> </w:t>
      </w:r>
      <w:r w:rsidR="00DC28BE" w:rsidRPr="00FF5965">
        <w:rPr>
          <w:rFonts w:ascii="Arial" w:hAnsi="Arial" w:cs="Arial"/>
          <w:sz w:val="24"/>
          <w:szCs w:val="24"/>
        </w:rPr>
        <w:t>ф</w:t>
      </w:r>
      <w:r w:rsidRPr="00FF5965">
        <w:rPr>
          <w:rFonts w:ascii="Arial" w:hAnsi="Arial" w:cs="Arial"/>
          <w:sz w:val="24"/>
          <w:szCs w:val="24"/>
        </w:rPr>
        <w:t>изкультурных, спортивных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и культурно-массовых мероприятий</w:t>
      </w:r>
    </w:p>
    <w:p w:rsidR="00CC1B1F" w:rsidRPr="00FF5965" w:rsidRDefault="00CC1B1F" w:rsidP="00FF5965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Нормы расходов</w:t>
      </w:r>
      <w:r w:rsidR="00FF5965">
        <w:rPr>
          <w:rFonts w:ascii="Arial" w:hAnsi="Arial" w:cs="Arial"/>
          <w:sz w:val="24"/>
          <w:szCs w:val="24"/>
        </w:rPr>
        <w:t xml:space="preserve"> </w:t>
      </w:r>
      <w:r w:rsidR="0055061D" w:rsidRPr="00FF5965">
        <w:rPr>
          <w:rFonts w:ascii="Arial" w:hAnsi="Arial" w:cs="Arial"/>
          <w:sz w:val="24"/>
          <w:szCs w:val="24"/>
        </w:rPr>
        <w:t>на обеспечение питанием участников физкультурных и спортивных мероприятий, проживание, страхование участников физкультурных и спортивных мероприятий и предоставление медицинских услуг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58"/>
        <w:gridCol w:w="2579"/>
        <w:gridCol w:w="3658"/>
      </w:tblGrid>
      <w:tr w:rsidR="00FF5965" w:rsidRPr="00FF5965" w:rsidTr="00FF5965">
        <w:tc>
          <w:tcPr>
            <w:tcW w:w="544" w:type="dxa"/>
            <w:shd w:val="clear" w:color="auto" w:fill="auto"/>
          </w:tcPr>
          <w:p w:rsidR="0055061D" w:rsidRPr="00FF5965" w:rsidRDefault="0055061D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№ п/п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55061D" w:rsidRPr="00FF5965" w:rsidRDefault="0055061D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Спортивные мероприятия</w:t>
            </w:r>
          </w:p>
        </w:tc>
        <w:tc>
          <w:tcPr>
            <w:tcW w:w="3658" w:type="dxa"/>
            <w:shd w:val="clear" w:color="auto" w:fill="auto"/>
          </w:tcPr>
          <w:p w:rsidR="0055061D" w:rsidRPr="00FF5965" w:rsidRDefault="0055061D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Расходы на одного человека в день (руб.)</w:t>
            </w:r>
          </w:p>
        </w:tc>
      </w:tr>
      <w:tr w:rsidR="00FF5965" w:rsidRPr="00FF5965" w:rsidTr="00FF5965">
        <w:trPr>
          <w:trHeight w:val="623"/>
        </w:trPr>
        <w:tc>
          <w:tcPr>
            <w:tcW w:w="544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1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Областные физкультурные и спортивные мероприятия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Питание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1200,00</w:t>
            </w:r>
          </w:p>
        </w:tc>
      </w:tr>
      <w:tr w:rsidR="00FF5965" w:rsidRPr="00FF5965" w:rsidTr="00FF5965">
        <w:trPr>
          <w:trHeight w:val="622"/>
        </w:trPr>
        <w:tc>
          <w:tcPr>
            <w:tcW w:w="544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Проживание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1700,00</w:t>
            </w:r>
          </w:p>
        </w:tc>
      </w:tr>
      <w:tr w:rsidR="00FF5965" w:rsidRPr="00FF5965" w:rsidTr="00FF5965">
        <w:trPr>
          <w:trHeight w:val="450"/>
        </w:trPr>
        <w:tc>
          <w:tcPr>
            <w:tcW w:w="544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2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Районные физкультурные и спортивные мероприятия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Питание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450,00</w:t>
            </w:r>
          </w:p>
        </w:tc>
      </w:tr>
      <w:tr w:rsidR="00FF5965" w:rsidRPr="00FF5965" w:rsidTr="00FF5965">
        <w:trPr>
          <w:trHeight w:val="363"/>
        </w:trPr>
        <w:tc>
          <w:tcPr>
            <w:tcW w:w="544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Проживание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-</w:t>
            </w:r>
          </w:p>
        </w:tc>
      </w:tr>
      <w:tr w:rsidR="00FF5965" w:rsidRPr="00FF5965" w:rsidTr="00FF5965">
        <w:trPr>
          <w:trHeight w:val="300"/>
        </w:trPr>
        <w:tc>
          <w:tcPr>
            <w:tcW w:w="544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3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Межмуниципальные спортивные мероприятия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Питание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450,00</w:t>
            </w:r>
          </w:p>
        </w:tc>
      </w:tr>
      <w:tr w:rsidR="00FF5965" w:rsidRPr="00FF5965" w:rsidTr="00FF5965">
        <w:trPr>
          <w:trHeight w:val="105"/>
        </w:trPr>
        <w:tc>
          <w:tcPr>
            <w:tcW w:w="544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Проживание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800,00</w:t>
            </w:r>
          </w:p>
        </w:tc>
      </w:tr>
      <w:tr w:rsidR="00FF5965" w:rsidRPr="00FF5965" w:rsidTr="00FF5965">
        <w:trPr>
          <w:trHeight w:val="285"/>
        </w:trPr>
        <w:tc>
          <w:tcPr>
            <w:tcW w:w="544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4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Всероссийские спортивные мероприятия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Питание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1500,00</w:t>
            </w:r>
          </w:p>
        </w:tc>
      </w:tr>
      <w:tr w:rsidR="00FF5965" w:rsidRPr="00FF5965" w:rsidTr="00FF5965">
        <w:trPr>
          <w:trHeight w:val="114"/>
        </w:trPr>
        <w:tc>
          <w:tcPr>
            <w:tcW w:w="544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Проживание</w:t>
            </w: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2000,00</w:t>
            </w:r>
          </w:p>
        </w:tc>
      </w:tr>
      <w:tr w:rsidR="00FF5965" w:rsidRPr="00FF5965" w:rsidTr="00FF5965">
        <w:trPr>
          <w:trHeight w:val="171"/>
        </w:trPr>
        <w:tc>
          <w:tcPr>
            <w:tcW w:w="544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Страхование участников мероприятий для допуска на мероприятие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70,00 рублей/день</w:t>
            </w:r>
          </w:p>
        </w:tc>
      </w:tr>
      <w:tr w:rsidR="00FF5965" w:rsidRPr="00FF5965" w:rsidTr="00FF5965">
        <w:trPr>
          <w:trHeight w:val="168"/>
        </w:trPr>
        <w:tc>
          <w:tcPr>
            <w:tcW w:w="544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>Предоставление медицинских услуг медицинскими учреждениями</w:t>
            </w:r>
          </w:p>
        </w:tc>
        <w:tc>
          <w:tcPr>
            <w:tcW w:w="2579" w:type="dxa"/>
            <w:shd w:val="clear" w:color="auto" w:fill="auto"/>
          </w:tcPr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  <w:p w:rsidR="00344AFB" w:rsidRPr="00FF5965" w:rsidRDefault="00344AFB" w:rsidP="00FF5965">
            <w:pPr>
              <w:ind w:firstLine="709"/>
              <w:rPr>
                <w:rFonts w:cs="Arial"/>
              </w:rPr>
            </w:pPr>
          </w:p>
        </w:tc>
        <w:tc>
          <w:tcPr>
            <w:tcW w:w="3658" w:type="dxa"/>
            <w:shd w:val="clear" w:color="auto" w:fill="auto"/>
          </w:tcPr>
          <w:p w:rsidR="00344AFB" w:rsidRPr="00FF5965" w:rsidRDefault="00FC17AE" w:rsidP="00FF5965">
            <w:pPr>
              <w:ind w:firstLine="709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344AFB" w:rsidRPr="00FF5965">
              <w:rPr>
                <w:rFonts w:cs="Arial"/>
              </w:rPr>
              <w:t>500,00 рублей/час</w:t>
            </w:r>
          </w:p>
        </w:tc>
      </w:tr>
    </w:tbl>
    <w:p w:rsidR="00344AFB" w:rsidRPr="00FF5965" w:rsidRDefault="00344AFB" w:rsidP="00FF5965">
      <w:pPr>
        <w:ind w:firstLine="709"/>
        <w:rPr>
          <w:rFonts w:cs="Arial"/>
        </w:rPr>
      </w:pPr>
      <w:r w:rsidRPr="00FF5965">
        <w:rPr>
          <w:rFonts w:cs="Arial"/>
        </w:rPr>
        <w:t>Примечания:</w:t>
      </w:r>
    </w:p>
    <w:p w:rsidR="0055061D" w:rsidRPr="00FF5965" w:rsidRDefault="00344AFB" w:rsidP="00FF5965">
      <w:pPr>
        <w:ind w:firstLine="709"/>
        <w:rPr>
          <w:rFonts w:cs="Arial"/>
        </w:rPr>
      </w:pPr>
      <w:r w:rsidRPr="00FF5965">
        <w:rPr>
          <w:rFonts w:cs="Arial"/>
        </w:rPr>
        <w:t>1. Организации, проводящие мероприятия за счет собственны</w:t>
      </w:r>
      <w:r w:rsidR="0000483D" w:rsidRPr="00FF5965">
        <w:rPr>
          <w:rFonts w:cs="Arial"/>
        </w:rPr>
        <w:t>х, спонсорских</w:t>
      </w:r>
      <w:r w:rsidR="00FF5965">
        <w:rPr>
          <w:rFonts w:cs="Arial"/>
        </w:rPr>
        <w:t xml:space="preserve"> </w:t>
      </w:r>
      <w:r w:rsidR="0000483D" w:rsidRPr="00FF5965">
        <w:rPr>
          <w:rFonts w:cs="Arial"/>
        </w:rPr>
        <w:t>и прочих привле</w:t>
      </w:r>
      <w:r w:rsidRPr="00FF5965">
        <w:rPr>
          <w:rFonts w:cs="Arial"/>
        </w:rPr>
        <w:t>ченных средств имеют право устанавливать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иные расходы на обеспечение питанием участников физкультурных и спортивных мероприятий, проживание, страхование участников физкультурных и спортивных мероприятий и предоставления медицинских услуг.</w:t>
      </w:r>
      <w:r w:rsidR="00FF5965">
        <w:rPr>
          <w:rFonts w:cs="Arial"/>
        </w:rPr>
        <w:t xml:space="preserve"> </w:t>
      </w:r>
    </w:p>
    <w:p w:rsidR="00DC28BE" w:rsidRPr="00FF5965" w:rsidRDefault="00DC28BE" w:rsidP="00FF5965">
      <w:pPr>
        <w:ind w:left="4962" w:firstLine="0"/>
        <w:rPr>
          <w:rFonts w:cs="Arial"/>
        </w:rPr>
      </w:pPr>
      <w:r w:rsidRPr="00FF5965">
        <w:rPr>
          <w:rFonts w:cs="Arial"/>
        </w:rPr>
        <w:br w:type="page"/>
      </w:r>
    </w:p>
    <w:p w:rsidR="00FF5965" w:rsidRDefault="00344AFB" w:rsidP="00FF5965">
      <w:pPr>
        <w:pStyle w:val="a7"/>
        <w:ind w:left="4962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Приложение № 3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к Порядку финансирования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физкультурных, спортивных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и культурно-массовых мероприятий</w:t>
      </w:r>
    </w:p>
    <w:p w:rsidR="00344AFB" w:rsidRPr="00FF5965" w:rsidRDefault="00344AFB" w:rsidP="00FF5965">
      <w:pPr>
        <w:ind w:firstLine="709"/>
        <w:rPr>
          <w:rFonts w:cs="Arial"/>
        </w:rPr>
      </w:pPr>
      <w:r w:rsidRPr="00FF5965">
        <w:rPr>
          <w:rFonts w:cs="Arial"/>
        </w:rPr>
        <w:t>Нормы расходов</w:t>
      </w:r>
      <w:r w:rsidR="00FF5965">
        <w:rPr>
          <w:rFonts w:cs="Arial"/>
        </w:rPr>
        <w:t xml:space="preserve"> </w:t>
      </w:r>
      <w:r w:rsidR="00623EDD" w:rsidRPr="00FF5965">
        <w:rPr>
          <w:rFonts w:cs="Arial"/>
        </w:rPr>
        <w:t>н</w:t>
      </w:r>
      <w:r w:rsidRPr="00FF5965">
        <w:rPr>
          <w:rFonts w:cs="Arial"/>
        </w:rPr>
        <w:t>а пре</w:t>
      </w:r>
      <w:r w:rsidR="003E607C" w:rsidRPr="00FF5965">
        <w:rPr>
          <w:rFonts w:cs="Arial"/>
        </w:rPr>
        <w:t>мирование и награждение</w:t>
      </w:r>
      <w:r w:rsidRPr="00FF5965">
        <w:rPr>
          <w:rFonts w:cs="Arial"/>
        </w:rPr>
        <w:t xml:space="preserve"> участник</w:t>
      </w:r>
      <w:r w:rsidR="003E607C" w:rsidRPr="00FF5965">
        <w:rPr>
          <w:rFonts w:cs="Arial"/>
        </w:rPr>
        <w:t xml:space="preserve">ов, тренеров, победителей и </w:t>
      </w:r>
      <w:r w:rsidRPr="00FF5965">
        <w:rPr>
          <w:rFonts w:cs="Arial"/>
        </w:rPr>
        <w:t>призеров спортивных и культурно-массовых мероприятий.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9"/>
        <w:gridCol w:w="1783"/>
        <w:gridCol w:w="1883"/>
        <w:gridCol w:w="1720"/>
      </w:tblGrid>
      <w:tr w:rsidR="008927FB" w:rsidRPr="00FF5965" w:rsidTr="00FF5965">
        <w:trPr>
          <w:trHeight w:val="7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№ п/п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Наименование спортивных мероприятий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B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Премия за высокие спортивные результаты</w:t>
            </w:r>
          </w:p>
          <w:p w:rsidR="008927FB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(руб.)</w:t>
            </w:r>
          </w:p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Премирование за участие</w:t>
            </w:r>
          </w:p>
          <w:p w:rsidR="008927FB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(руб.)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Премирование за подготовку команд и участников</w:t>
            </w:r>
          </w:p>
          <w:p w:rsidR="008927FB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(руб.)</w:t>
            </w:r>
          </w:p>
        </w:tc>
      </w:tr>
      <w:tr w:rsidR="008927FB" w:rsidRPr="00FF5965" w:rsidTr="00FF5965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1B1F" w:rsidRPr="00FF5965" w:rsidRDefault="008927FB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Спортивные 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B1F" w:rsidRPr="00FF5965" w:rsidRDefault="00CC1B1F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3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Международные соревнования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6000,00 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20000,00 руб.</w:t>
            </w:r>
          </w:p>
        </w:tc>
      </w:tr>
      <w:tr w:rsidR="00623EDD" w:rsidRPr="00FF5965" w:rsidTr="00FF5965">
        <w:trPr>
          <w:trHeight w:val="1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8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6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11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4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20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Финалы первенств, чемпионатов, Кубков России, Сельские игры, Спартакиады городов и районов, а также массовых физкультурно-спортивных мероприятий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5000,00 руб.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15000,00 руб.</w:t>
            </w:r>
          </w:p>
        </w:tc>
      </w:tr>
      <w:tr w:rsidR="00623EDD" w:rsidRPr="00FF5965" w:rsidTr="00FF5965">
        <w:trPr>
          <w:trHeight w:val="9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5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4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11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3</w:t>
            </w:r>
            <w:r w:rsidR="00623EDD" w:rsidRPr="00FF5965">
              <w:rPr>
                <w:rFonts w:cs="Arial"/>
              </w:rPr>
              <w:t>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55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Чемпионаты, первенства области, Спартакиады учащихся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3000,00 руб.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5000,00 руб.</w:t>
            </w:r>
          </w:p>
        </w:tc>
      </w:tr>
      <w:tr w:rsidR="00623EDD" w:rsidRPr="00FF5965" w:rsidTr="00FF5965">
        <w:trPr>
          <w:trHeight w:val="11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3000,00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2000,00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11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1000,00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2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Областные комплексные 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1</w:t>
            </w:r>
            <w:r w:rsidR="007B2D3F" w:rsidRPr="00FF5965">
              <w:rPr>
                <w:rFonts w:cs="Arial"/>
              </w:rPr>
              <w:t>5</w:t>
            </w:r>
            <w:r w:rsidR="00623EDD" w:rsidRPr="00FF5965">
              <w:rPr>
                <w:rFonts w:cs="Arial"/>
              </w:rPr>
              <w:t>00,00 руб.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2</w:t>
            </w:r>
            <w:r w:rsidR="007B2D3F" w:rsidRPr="00FF5965">
              <w:rPr>
                <w:rFonts w:cs="Arial"/>
              </w:rPr>
              <w:t>5</w:t>
            </w:r>
            <w:r w:rsidR="00623EDD" w:rsidRPr="00FF5965">
              <w:rPr>
                <w:rFonts w:cs="Arial"/>
              </w:rPr>
              <w:t>00,00 руб.</w:t>
            </w:r>
          </w:p>
        </w:tc>
      </w:tr>
      <w:tr w:rsidR="00623EDD" w:rsidRPr="00FF5965" w:rsidTr="00FF5965">
        <w:trPr>
          <w:trHeight w:val="13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120</w:t>
            </w:r>
            <w:r w:rsidR="00623EDD" w:rsidRPr="00FF5965">
              <w:rPr>
                <w:rFonts w:cs="Arial"/>
              </w:rPr>
              <w:t>0,00 руб.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9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10</w:t>
            </w:r>
            <w:r w:rsidR="00623EDD" w:rsidRPr="00FF5965">
              <w:rPr>
                <w:rFonts w:cs="Arial"/>
              </w:rPr>
              <w:t>00,00 руб.</w:t>
            </w: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9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 место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7B2D3F" w:rsidRPr="00FF5965">
              <w:rPr>
                <w:rFonts w:cs="Arial"/>
              </w:rPr>
              <w:t>8</w:t>
            </w:r>
            <w:r w:rsidR="00623EDD" w:rsidRPr="00FF5965">
              <w:rPr>
                <w:rFonts w:cs="Arial"/>
              </w:rPr>
              <w:t>00,00 руб.</w:t>
            </w: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</w:p>
        </w:tc>
      </w:tr>
      <w:tr w:rsidR="00623EDD" w:rsidRPr="00FF5965" w:rsidTr="00FF5965">
        <w:trPr>
          <w:trHeight w:val="126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Медаль (1,2 и 3 место)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300,00 руб./шт.</w:t>
            </w:r>
          </w:p>
        </w:tc>
      </w:tr>
      <w:tr w:rsidR="00623EDD" w:rsidRPr="00FF5965" w:rsidTr="00FF5965">
        <w:trPr>
          <w:trHeight w:val="126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Диплом, жетон (1,2 и 3 место)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250,00 руб./шт.</w:t>
            </w:r>
          </w:p>
        </w:tc>
      </w:tr>
      <w:tr w:rsidR="00623EDD" w:rsidRPr="00FF5965" w:rsidTr="00FF5965">
        <w:trPr>
          <w:trHeight w:val="13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623EDD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Приобретение сувенирной продукции для участников мероприятий (в зависимости от количества участников)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FF5965" w:rsidRDefault="00FC17AE" w:rsidP="00FF5965">
            <w:pPr>
              <w:ind w:firstLine="709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623EDD" w:rsidRPr="00FF5965">
              <w:rPr>
                <w:rFonts w:cs="Arial"/>
              </w:rPr>
              <w:t>550,00 руб./шт.</w:t>
            </w:r>
          </w:p>
        </w:tc>
      </w:tr>
    </w:tbl>
    <w:p w:rsidR="00CC1B1F" w:rsidRPr="00FF5965" w:rsidRDefault="00CC1B1F" w:rsidP="00FF5965">
      <w:pPr>
        <w:ind w:firstLine="709"/>
        <w:rPr>
          <w:rFonts w:cs="Arial"/>
        </w:rPr>
      </w:pPr>
    </w:p>
    <w:p w:rsidR="001742DF" w:rsidRPr="00FF5965" w:rsidRDefault="001742DF" w:rsidP="00FF5965">
      <w:pPr>
        <w:ind w:firstLine="709"/>
        <w:rPr>
          <w:rFonts w:cs="Arial"/>
        </w:rPr>
      </w:pPr>
      <w:r w:rsidRPr="00FF5965">
        <w:rPr>
          <w:rFonts w:cs="Arial"/>
        </w:rPr>
        <w:t>Примечания:</w:t>
      </w:r>
    </w:p>
    <w:p w:rsidR="001742DF" w:rsidRPr="00FF5965" w:rsidRDefault="001742DF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1. </w:t>
      </w:r>
      <w:r w:rsidR="0000483D" w:rsidRPr="00FF5965">
        <w:rPr>
          <w:rFonts w:cs="Arial"/>
        </w:rPr>
        <w:t>Организации, проводящие мероприятия за счет собственных, спонсорских</w:t>
      </w:r>
      <w:r w:rsidR="00FF5965">
        <w:rPr>
          <w:rFonts w:cs="Arial"/>
        </w:rPr>
        <w:t xml:space="preserve"> </w:t>
      </w:r>
      <w:r w:rsidR="0000483D" w:rsidRPr="00FF5965">
        <w:rPr>
          <w:rFonts w:cs="Arial"/>
        </w:rPr>
        <w:t>и прочих привлеченных средств имеют право устанавливать</w:t>
      </w:r>
      <w:r w:rsidR="00FF5965">
        <w:rPr>
          <w:rFonts w:cs="Arial"/>
        </w:rPr>
        <w:t xml:space="preserve"> </w:t>
      </w:r>
      <w:r w:rsidR="0000483D" w:rsidRPr="00FF5965">
        <w:rPr>
          <w:rFonts w:cs="Arial"/>
        </w:rPr>
        <w:t>иные расходы.</w:t>
      </w:r>
    </w:p>
    <w:p w:rsidR="00BB4E24" w:rsidRPr="00FF5965" w:rsidRDefault="001742DF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2. </w:t>
      </w:r>
      <w:r w:rsidR="0000483D" w:rsidRPr="00FF5965">
        <w:rPr>
          <w:rFonts w:cs="Arial"/>
        </w:rPr>
        <w:t>Запрещается выдача наличных средств, кроме утвержденных премий, в качестве награждения.</w:t>
      </w:r>
    </w:p>
    <w:p w:rsidR="00FF5965" w:rsidRDefault="0000483D" w:rsidP="00FF5965">
      <w:pPr>
        <w:ind w:firstLine="709"/>
        <w:rPr>
          <w:rFonts w:cs="Arial"/>
        </w:rPr>
      </w:pPr>
      <w:r w:rsidRPr="00FF5965">
        <w:rPr>
          <w:rFonts w:cs="Arial"/>
        </w:rPr>
        <w:t>3. Расходы по обеспечению участников всех видов мероприятий канцелярскими принадлежностями и другими расходными материалами утверждаются сметой.</w:t>
      </w: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ind w:firstLine="709"/>
        <w:rPr>
          <w:rFonts w:cs="Arial"/>
        </w:rPr>
      </w:pPr>
    </w:p>
    <w:p w:rsidR="00FF5965" w:rsidRDefault="00FF5965" w:rsidP="00FF5965">
      <w:pPr>
        <w:pStyle w:val="a7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0483D" w:rsidRPr="00FF5965">
        <w:rPr>
          <w:rFonts w:ascii="Arial" w:hAnsi="Arial" w:cs="Arial"/>
          <w:sz w:val="24"/>
          <w:szCs w:val="24"/>
        </w:rPr>
        <w:lastRenderedPageBreak/>
        <w:t>Приложение № 4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="0000483D" w:rsidRPr="00FF5965">
        <w:rPr>
          <w:rFonts w:ascii="Arial" w:hAnsi="Arial" w:cs="Arial"/>
          <w:sz w:val="24"/>
          <w:szCs w:val="24"/>
        </w:rPr>
        <w:t>к Порядку финансирования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="0000483D" w:rsidRPr="00FF5965">
        <w:rPr>
          <w:rFonts w:ascii="Arial" w:hAnsi="Arial" w:cs="Arial"/>
          <w:sz w:val="24"/>
          <w:szCs w:val="24"/>
        </w:rPr>
        <w:t>физкультурных, спортивных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="0000483D" w:rsidRPr="00FF5965">
        <w:rPr>
          <w:rFonts w:ascii="Arial" w:hAnsi="Arial" w:cs="Arial"/>
          <w:sz w:val="24"/>
          <w:szCs w:val="24"/>
        </w:rPr>
        <w:t>и культурно-массовых мероприятий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Нормы расходов </w:t>
      </w:r>
      <w:r w:rsidR="0000483D" w:rsidRPr="00FF5965">
        <w:rPr>
          <w:rFonts w:cs="Arial"/>
        </w:rPr>
        <w:t xml:space="preserve">на выплату судьям и обслуживающему персоналу за обслуживание </w:t>
      </w:r>
      <w:r w:rsidRPr="00FF5965">
        <w:rPr>
          <w:rFonts w:cs="Arial"/>
        </w:rPr>
        <w:t>физкультурных мероприятий, спортивных мероприяти</w:t>
      </w:r>
      <w:r w:rsidR="0000483D" w:rsidRPr="00FF5965">
        <w:rPr>
          <w:rFonts w:cs="Arial"/>
        </w:rPr>
        <w:t>й и спортивно</w:t>
      </w:r>
      <w:r w:rsidRPr="00FF5965">
        <w:rPr>
          <w:rFonts w:cs="Arial"/>
        </w:rPr>
        <w:t>-массовых мероприятий</w:t>
      </w:r>
    </w:p>
    <w:tbl>
      <w:tblPr>
        <w:tblW w:w="97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576"/>
        <w:gridCol w:w="1316"/>
        <w:gridCol w:w="1313"/>
        <w:gridCol w:w="1313"/>
        <w:gridCol w:w="1313"/>
        <w:gridCol w:w="1373"/>
      </w:tblGrid>
      <w:tr w:rsidR="00BB4E24" w:rsidRPr="00FF5965" w:rsidTr="00FF5965">
        <w:trPr>
          <w:trHeight w:val="465"/>
        </w:trPr>
        <w:tc>
          <w:tcPr>
            <w:tcW w:w="543" w:type="dxa"/>
            <w:vMerge w:val="restart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№ п/п</w:t>
            </w:r>
          </w:p>
        </w:tc>
        <w:tc>
          <w:tcPr>
            <w:tcW w:w="2576" w:type="dxa"/>
            <w:vMerge w:val="restart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Наименование судейских должностей</w:t>
            </w:r>
          </w:p>
        </w:tc>
        <w:tc>
          <w:tcPr>
            <w:tcW w:w="6628" w:type="dxa"/>
            <w:gridSpan w:val="5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Размеры выплат с учетом судейских категорий в (рублях)</w:t>
            </w:r>
          </w:p>
        </w:tc>
      </w:tr>
      <w:tr w:rsidR="00BB4E24" w:rsidRPr="00FF5965" w:rsidTr="00FF5965">
        <w:trPr>
          <w:trHeight w:val="360"/>
        </w:trPr>
        <w:tc>
          <w:tcPr>
            <w:tcW w:w="543" w:type="dxa"/>
            <w:vMerge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576" w:type="dxa"/>
            <w:vMerge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316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МК, ВК</w:t>
            </w:r>
          </w:p>
        </w:tc>
        <w:tc>
          <w:tcPr>
            <w:tcW w:w="131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к.</w:t>
            </w:r>
          </w:p>
        </w:tc>
        <w:tc>
          <w:tcPr>
            <w:tcW w:w="131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2к</w:t>
            </w:r>
          </w:p>
        </w:tc>
        <w:tc>
          <w:tcPr>
            <w:tcW w:w="131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3к.</w:t>
            </w:r>
          </w:p>
        </w:tc>
        <w:tc>
          <w:tcPr>
            <w:tcW w:w="137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ю/с с/с</w:t>
            </w:r>
          </w:p>
        </w:tc>
      </w:tr>
      <w:tr w:rsidR="00BB4E24" w:rsidRPr="00FF5965" w:rsidTr="00FF5965">
        <w:tc>
          <w:tcPr>
            <w:tcW w:w="54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</w:t>
            </w:r>
          </w:p>
        </w:tc>
        <w:tc>
          <w:tcPr>
            <w:tcW w:w="2576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Главный судья</w:t>
            </w:r>
          </w:p>
        </w:tc>
        <w:tc>
          <w:tcPr>
            <w:tcW w:w="1316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A72D8E" w:rsidRPr="00FF5965">
              <w:rPr>
                <w:rFonts w:cs="Arial"/>
              </w:rPr>
              <w:t>750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A72D8E" w:rsidRPr="00FF5965">
              <w:rPr>
                <w:rFonts w:cs="Arial"/>
              </w:rPr>
              <w:t>600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A72D8E" w:rsidRPr="00FF5965">
              <w:rPr>
                <w:rFonts w:cs="Arial"/>
              </w:rPr>
              <w:t>500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45</w:t>
            </w:r>
            <w:r w:rsidR="00BB4E24" w:rsidRPr="00FF5965">
              <w:rPr>
                <w:rFonts w:cs="Arial"/>
              </w:rPr>
              <w:t>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7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B4E24" w:rsidRPr="00FF5965">
              <w:rPr>
                <w:rFonts w:cs="Arial"/>
              </w:rPr>
              <w:t>350</w:t>
            </w:r>
            <w:r w:rsidR="0000483D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rPr>
          <w:trHeight w:val="374"/>
        </w:trPr>
        <w:tc>
          <w:tcPr>
            <w:tcW w:w="543" w:type="dxa"/>
            <w:tcBorders>
              <w:bottom w:val="single" w:sz="4" w:space="0" w:color="auto"/>
            </w:tcBorders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2.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Главный судья - секретарь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750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600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500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450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B4E24" w:rsidRPr="00FF5965">
              <w:rPr>
                <w:rFonts w:cs="Arial"/>
              </w:rPr>
              <w:t>350</w:t>
            </w:r>
            <w:r w:rsidR="0000483D" w:rsidRPr="00FF5965">
              <w:rPr>
                <w:rFonts w:cs="Arial"/>
              </w:rPr>
              <w:t>,00 руб.</w:t>
            </w:r>
          </w:p>
        </w:tc>
      </w:tr>
      <w:tr w:rsidR="00E9510B" w:rsidRPr="00FF5965" w:rsidTr="00FF5965">
        <w:trPr>
          <w:trHeight w:val="187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E9510B" w:rsidRPr="00FF5965" w:rsidRDefault="00E9510B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3.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E9510B" w:rsidRPr="00FF5965" w:rsidRDefault="00E9510B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Заместитель главного судьи, заместитель главного секретаря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9510B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680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550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520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400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9510B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350</w:t>
            </w:r>
            <w:r w:rsidR="0000483D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43" w:type="dxa"/>
            <w:tcBorders>
              <w:top w:val="single" w:sz="4" w:space="0" w:color="auto"/>
            </w:tcBorders>
          </w:tcPr>
          <w:p w:rsidR="00BB4E24" w:rsidRPr="00FF5965" w:rsidRDefault="00E9510B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4</w:t>
            </w:r>
            <w:r w:rsidR="00BB4E24" w:rsidRPr="00FF5965">
              <w:rPr>
                <w:rFonts w:cs="Arial"/>
              </w:rPr>
              <w:t>.</w:t>
            </w:r>
          </w:p>
        </w:tc>
        <w:tc>
          <w:tcPr>
            <w:tcW w:w="2576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Судьи</w:t>
            </w:r>
          </w:p>
        </w:tc>
        <w:tc>
          <w:tcPr>
            <w:tcW w:w="1316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650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500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400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1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E9510B" w:rsidRPr="00FF5965">
              <w:rPr>
                <w:rFonts w:cs="Arial"/>
              </w:rPr>
              <w:t>350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37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B4E24" w:rsidRPr="00FF5965">
              <w:rPr>
                <w:rFonts w:cs="Arial"/>
              </w:rPr>
              <w:t>300</w:t>
            </w:r>
            <w:r w:rsidR="0000483D" w:rsidRPr="00FF5965">
              <w:rPr>
                <w:rFonts w:cs="Arial"/>
              </w:rPr>
              <w:t>,00 руб.</w:t>
            </w:r>
          </w:p>
        </w:tc>
      </w:tr>
    </w:tbl>
    <w:p w:rsidR="00BB4E24" w:rsidRPr="00FF5965" w:rsidRDefault="00BB4E24" w:rsidP="00FF5965">
      <w:pPr>
        <w:ind w:firstLine="709"/>
        <w:contextualSpacing/>
        <w:rPr>
          <w:rFonts w:cs="Arial"/>
        </w:rPr>
      </w:pPr>
      <w:r w:rsidRPr="00FF5965">
        <w:rPr>
          <w:rFonts w:cs="Arial"/>
        </w:rPr>
        <w:t>Командные игровые виды спорта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474"/>
        <w:gridCol w:w="1221"/>
        <w:gridCol w:w="1417"/>
        <w:gridCol w:w="1327"/>
        <w:gridCol w:w="1223"/>
      </w:tblGrid>
      <w:tr w:rsidR="0000483D" w:rsidRPr="00FF5965" w:rsidTr="00FF5965">
        <w:tc>
          <w:tcPr>
            <w:tcW w:w="568" w:type="dxa"/>
          </w:tcPr>
          <w:p w:rsidR="0000483D" w:rsidRPr="00FF5965" w:rsidRDefault="0000483D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№</w:t>
            </w:r>
          </w:p>
          <w:p w:rsidR="0000483D" w:rsidRPr="00FF5965" w:rsidRDefault="0000483D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п/п</w:t>
            </w:r>
          </w:p>
        </w:tc>
        <w:tc>
          <w:tcPr>
            <w:tcW w:w="2551" w:type="dxa"/>
          </w:tcPr>
          <w:p w:rsidR="0000483D" w:rsidRPr="00FF5965" w:rsidRDefault="0000483D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Наименование судейских должностей</w:t>
            </w:r>
          </w:p>
        </w:tc>
        <w:tc>
          <w:tcPr>
            <w:tcW w:w="6662" w:type="dxa"/>
            <w:gridSpan w:val="5"/>
          </w:tcPr>
          <w:p w:rsidR="0000483D" w:rsidRPr="00FF5965" w:rsidRDefault="0000483D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Размеры выплат с учетом судейских категорий в (рублях)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551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474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МК ,ВК</w:t>
            </w:r>
          </w:p>
        </w:tc>
        <w:tc>
          <w:tcPr>
            <w:tcW w:w="1221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 к.</w:t>
            </w:r>
          </w:p>
        </w:tc>
        <w:tc>
          <w:tcPr>
            <w:tcW w:w="1417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2к</w:t>
            </w:r>
          </w:p>
        </w:tc>
        <w:tc>
          <w:tcPr>
            <w:tcW w:w="1327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3к.</w:t>
            </w:r>
          </w:p>
        </w:tc>
        <w:tc>
          <w:tcPr>
            <w:tcW w:w="1223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ю/с с/с</w:t>
            </w:r>
          </w:p>
        </w:tc>
      </w:tr>
      <w:tr w:rsidR="00BB4E24" w:rsidRPr="00FF5965" w:rsidTr="00FF5965">
        <w:trPr>
          <w:trHeight w:val="374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Главный судья</w:t>
            </w:r>
            <w:r w:rsidR="00BF1A78" w:rsidRPr="00FF5965">
              <w:rPr>
                <w:rFonts w:cs="Arial"/>
              </w:rPr>
              <w:t>, главный секретарь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750</w:t>
            </w:r>
            <w:r w:rsidR="0000483D" w:rsidRPr="00FF5965">
              <w:rPr>
                <w:rFonts w:cs="Arial"/>
              </w:rPr>
              <w:t>,00 руб.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600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500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450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B4E24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542ED9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</w:t>
            </w:r>
            <w:r w:rsidR="00BF1A78" w:rsidRPr="00FF5965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:rsidR="00BB4E24" w:rsidRPr="00FF5965" w:rsidRDefault="00BF1A78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Главного судья игры</w:t>
            </w:r>
          </w:p>
        </w:tc>
        <w:tc>
          <w:tcPr>
            <w:tcW w:w="1474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400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1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360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417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320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327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B4E24" w:rsidRPr="00FF5965">
              <w:rPr>
                <w:rFonts w:cs="Arial"/>
              </w:rPr>
              <w:t>250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rPr>
          <w:trHeight w:val="336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FF5965" w:rsidRDefault="00542ED9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</w:t>
            </w:r>
            <w:r w:rsidR="00BF1A78" w:rsidRPr="00FF5965">
              <w:rPr>
                <w:rFonts w:cs="Arial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4E24" w:rsidRPr="00FF5965" w:rsidRDefault="00BF1A78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Помощник главного судьи</w:t>
            </w:r>
            <w:r w:rsidR="00BB4E24" w:rsidRPr="00FF5965">
              <w:rPr>
                <w:rFonts w:cs="Arial"/>
              </w:rPr>
              <w:t xml:space="preserve"> </w:t>
            </w:r>
            <w:r w:rsidRPr="00FF5965">
              <w:rPr>
                <w:rFonts w:cs="Arial"/>
              </w:rPr>
              <w:t>игры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400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330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290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270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200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542ED9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4</w:t>
            </w:r>
            <w:r w:rsidR="00BF1A78" w:rsidRPr="00FF5965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Судьи </w:t>
            </w:r>
            <w:r w:rsidR="00BF1A78" w:rsidRPr="00FF5965">
              <w:rPr>
                <w:rFonts w:cs="Arial"/>
              </w:rPr>
              <w:t>(</w:t>
            </w:r>
            <w:r w:rsidRPr="00FF5965">
              <w:rPr>
                <w:rFonts w:cs="Arial"/>
              </w:rPr>
              <w:t>в составе бригады</w:t>
            </w:r>
            <w:r w:rsidR="00BF1A78" w:rsidRPr="00FF5965">
              <w:rPr>
                <w:rFonts w:cs="Arial"/>
              </w:rPr>
              <w:t>)</w:t>
            </w:r>
          </w:p>
        </w:tc>
        <w:tc>
          <w:tcPr>
            <w:tcW w:w="1474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350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1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F1A78" w:rsidRPr="00FF5965">
              <w:rPr>
                <w:rFonts w:cs="Arial"/>
              </w:rPr>
              <w:t>330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417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327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270</w:t>
            </w:r>
            <w:r w:rsidR="00542ED9" w:rsidRPr="00FF5965">
              <w:rPr>
                <w:rFonts w:cs="Arial"/>
              </w:rPr>
              <w:t>,00 руб.</w:t>
            </w:r>
          </w:p>
        </w:tc>
        <w:tc>
          <w:tcPr>
            <w:tcW w:w="1223" w:type="dxa"/>
          </w:tcPr>
          <w:p w:rsidR="00BB4E24" w:rsidRPr="00FF5965" w:rsidRDefault="00FC17AE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230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967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№ п/п</w:t>
            </w: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Обслуживающий персонал</w:t>
            </w:r>
          </w:p>
        </w:tc>
        <w:tc>
          <w:tcPr>
            <w:tcW w:w="3967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Размеры выплат независимо от судейской категории (руб.)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1.</w:t>
            </w: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Врач</w:t>
            </w:r>
          </w:p>
        </w:tc>
        <w:tc>
          <w:tcPr>
            <w:tcW w:w="3967" w:type="dxa"/>
            <w:gridSpan w:val="3"/>
          </w:tcPr>
          <w:p w:rsidR="00BB4E24" w:rsidRPr="00FF5965" w:rsidRDefault="007B2D3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450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2.</w:t>
            </w: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Медсестра</w:t>
            </w:r>
          </w:p>
        </w:tc>
        <w:tc>
          <w:tcPr>
            <w:tcW w:w="3967" w:type="dxa"/>
            <w:gridSpan w:val="3"/>
          </w:tcPr>
          <w:p w:rsidR="00BB4E24" w:rsidRPr="00FF5965" w:rsidRDefault="007B2D3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450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3.</w:t>
            </w: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Рабочий</w:t>
            </w:r>
          </w:p>
        </w:tc>
        <w:tc>
          <w:tcPr>
            <w:tcW w:w="3967" w:type="dxa"/>
            <w:gridSpan w:val="3"/>
          </w:tcPr>
          <w:p w:rsidR="00BB4E24" w:rsidRPr="00FF5965" w:rsidRDefault="007B2D3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4.</w:t>
            </w:r>
          </w:p>
        </w:tc>
        <w:tc>
          <w:tcPr>
            <w:tcW w:w="5246" w:type="dxa"/>
            <w:gridSpan w:val="3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Оформитель</w:t>
            </w:r>
          </w:p>
        </w:tc>
        <w:tc>
          <w:tcPr>
            <w:tcW w:w="3967" w:type="dxa"/>
            <w:gridSpan w:val="3"/>
          </w:tcPr>
          <w:p w:rsidR="00BB4E24" w:rsidRPr="00FF5965" w:rsidRDefault="007B2D3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B4E24" w:rsidRPr="00FF5965" w:rsidTr="00FF5965">
        <w:tc>
          <w:tcPr>
            <w:tcW w:w="568" w:type="dxa"/>
          </w:tcPr>
          <w:p w:rsidR="00BB4E24" w:rsidRPr="00FF5965" w:rsidRDefault="00BB4E24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5.</w:t>
            </w:r>
          </w:p>
        </w:tc>
        <w:tc>
          <w:tcPr>
            <w:tcW w:w="5246" w:type="dxa"/>
            <w:gridSpan w:val="3"/>
          </w:tcPr>
          <w:p w:rsidR="00BB4E24" w:rsidRPr="00FF5965" w:rsidRDefault="00833A7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>З</w:t>
            </w:r>
            <w:r w:rsidR="00BB4E24" w:rsidRPr="00FF5965">
              <w:rPr>
                <w:rFonts w:cs="Arial"/>
              </w:rPr>
              <w:t>вукооператор</w:t>
            </w:r>
          </w:p>
        </w:tc>
        <w:tc>
          <w:tcPr>
            <w:tcW w:w="3967" w:type="dxa"/>
            <w:gridSpan w:val="3"/>
          </w:tcPr>
          <w:p w:rsidR="00BB4E24" w:rsidRPr="00FF5965" w:rsidRDefault="007B2D3F" w:rsidP="00FF5965">
            <w:pPr>
              <w:ind w:firstLine="0"/>
              <w:contextualSpacing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833A7F" w:rsidRPr="00FF5965">
              <w:rPr>
                <w:rFonts w:cs="Arial"/>
              </w:rPr>
              <w:t>300</w:t>
            </w:r>
            <w:r w:rsidR="00542ED9" w:rsidRPr="00FF5965">
              <w:rPr>
                <w:rFonts w:cs="Arial"/>
              </w:rPr>
              <w:t>,00 руб.</w:t>
            </w:r>
          </w:p>
        </w:tc>
      </w:tr>
    </w:tbl>
    <w:p w:rsidR="00BB4E24" w:rsidRPr="00FF5965" w:rsidRDefault="00BB4E24" w:rsidP="00FF5965">
      <w:pPr>
        <w:ind w:firstLine="709"/>
        <w:rPr>
          <w:rFonts w:cs="Arial"/>
        </w:rPr>
      </w:pP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Условные обозначения: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МК- спортивный судья международной категории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lastRenderedPageBreak/>
        <w:t>ВК - спортивный судья всероссийской категории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1К - спортивный судья первой категории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2К - спортивный судья второй категории</w:t>
      </w:r>
    </w:p>
    <w:p w:rsidR="00BB4E24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3К - спортивный судья третьей категории</w:t>
      </w:r>
    </w:p>
    <w:p w:rsidR="00833A7F" w:rsidRPr="00FF5965" w:rsidRDefault="00BB4E24" w:rsidP="00FF5965">
      <w:pPr>
        <w:ind w:firstLine="709"/>
        <w:rPr>
          <w:rFonts w:cs="Arial"/>
        </w:rPr>
      </w:pPr>
      <w:r w:rsidRPr="00FF5965">
        <w:rPr>
          <w:rFonts w:cs="Arial"/>
        </w:rPr>
        <w:t>ЮС – юный спортивный судья</w:t>
      </w:r>
    </w:p>
    <w:p w:rsidR="00542ED9" w:rsidRPr="00FF5965" w:rsidRDefault="00542ED9" w:rsidP="00FF5965">
      <w:pPr>
        <w:ind w:firstLine="709"/>
        <w:rPr>
          <w:rFonts w:cs="Arial"/>
        </w:rPr>
      </w:pPr>
      <w:r w:rsidRPr="00FF5965">
        <w:rPr>
          <w:rFonts w:cs="Arial"/>
        </w:rPr>
        <w:t>СС – судья по спорту</w:t>
      </w:r>
    </w:p>
    <w:p w:rsidR="00833A7F" w:rsidRPr="00FF5965" w:rsidRDefault="00833A7F" w:rsidP="00FF5965">
      <w:pPr>
        <w:ind w:firstLine="709"/>
        <w:rPr>
          <w:rFonts w:cs="Arial"/>
        </w:rPr>
      </w:pPr>
      <w:bookmarkStart w:id="1" w:name="_Hlk85189780"/>
      <w:bookmarkStart w:id="2" w:name="_Hlk85189835"/>
      <w:r w:rsidRPr="00FF5965">
        <w:rPr>
          <w:rFonts w:cs="Arial"/>
        </w:rPr>
        <w:t>Примечания:</w:t>
      </w:r>
    </w:p>
    <w:p w:rsidR="00542ED9" w:rsidRPr="00FF5965" w:rsidRDefault="00833A7F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1. </w:t>
      </w:r>
      <w:r w:rsidR="00542ED9" w:rsidRPr="00FF5965">
        <w:rPr>
          <w:rFonts w:cs="Arial"/>
        </w:rPr>
        <w:t>Организации, проводящие мероприятия за счет собственных, спонсорских</w:t>
      </w:r>
      <w:r w:rsidR="00FF5965">
        <w:rPr>
          <w:rFonts w:cs="Arial"/>
        </w:rPr>
        <w:t xml:space="preserve"> </w:t>
      </w:r>
      <w:r w:rsidR="00542ED9" w:rsidRPr="00FF5965">
        <w:rPr>
          <w:rFonts w:cs="Arial"/>
        </w:rPr>
        <w:t>и прочих привлеченных средств имеют право устанавливать</w:t>
      </w:r>
      <w:r w:rsidR="00FF5965">
        <w:rPr>
          <w:rFonts w:cs="Arial"/>
        </w:rPr>
        <w:t xml:space="preserve"> </w:t>
      </w:r>
      <w:r w:rsidR="00542ED9" w:rsidRPr="00FF5965">
        <w:rPr>
          <w:rFonts w:cs="Arial"/>
        </w:rPr>
        <w:t>иные размеры выплат судьям и обслуживающему персоналу за обслуживание спортивных соревнований.</w:t>
      </w:r>
    </w:p>
    <w:p w:rsidR="00833A7F" w:rsidRPr="00FF5965" w:rsidRDefault="00542ED9" w:rsidP="00FF5965">
      <w:pPr>
        <w:ind w:firstLine="709"/>
        <w:rPr>
          <w:rFonts w:cs="Arial"/>
        </w:rPr>
      </w:pPr>
      <w:r w:rsidRPr="00FF5965">
        <w:rPr>
          <w:rFonts w:cs="Arial"/>
        </w:rPr>
        <w:t xml:space="preserve">2. </w:t>
      </w:r>
      <w:r w:rsidR="00833A7F" w:rsidRPr="00FF5965">
        <w:rPr>
          <w:rFonts w:cs="Arial"/>
        </w:rPr>
        <w:t xml:space="preserve">Оплата </w:t>
      </w:r>
      <w:bookmarkEnd w:id="1"/>
      <w:r w:rsidR="00833A7F" w:rsidRPr="00FF5965">
        <w:rPr>
          <w:rFonts w:cs="Arial"/>
        </w:rPr>
        <w:t>спортивным судьям за обслуживание мероприятий производится в зависимости от их квалификационной категории, которая присваивается в соответствии с Положением о спортивных судьях, утвержденным Приказом Министерства спорта Российской Федерации от 28.02.2017 №134 «Об утверждении положения о спортивных судьях».</w:t>
      </w:r>
    </w:p>
    <w:p w:rsidR="00833A7F" w:rsidRPr="00FF5965" w:rsidRDefault="00542ED9" w:rsidP="00FF5965">
      <w:pPr>
        <w:ind w:firstLine="709"/>
        <w:rPr>
          <w:rFonts w:cs="Arial"/>
        </w:rPr>
      </w:pPr>
      <w:r w:rsidRPr="00FF5965">
        <w:rPr>
          <w:rFonts w:cs="Arial"/>
        </w:rPr>
        <w:t>3</w:t>
      </w:r>
      <w:r w:rsidR="00833A7F" w:rsidRPr="00FF5965">
        <w:rPr>
          <w:rFonts w:cs="Arial"/>
        </w:rPr>
        <w:t xml:space="preserve">. Размеры выплат предусмотрены за обслуживание одного дня соревнований, кроме командных игровых видов спорта, где выплата </w:t>
      </w:r>
      <w:bookmarkEnd w:id="2"/>
      <w:r w:rsidR="00833A7F" w:rsidRPr="00FF5965">
        <w:rPr>
          <w:rFonts w:cs="Arial"/>
        </w:rPr>
        <w:t>производится за обслуживание одной игры (футбол, хоккей, баскетбол, волейбол, водное поло, гандбол и др.).</w:t>
      </w:r>
    </w:p>
    <w:p w:rsidR="00454F53" w:rsidRPr="00FF5965" w:rsidRDefault="00542ED9" w:rsidP="00FF5965">
      <w:pPr>
        <w:ind w:firstLine="709"/>
        <w:rPr>
          <w:rFonts w:cs="Arial"/>
        </w:rPr>
      </w:pPr>
      <w:r w:rsidRPr="00FF5965">
        <w:rPr>
          <w:rFonts w:cs="Arial"/>
        </w:rPr>
        <w:t>4</w:t>
      </w:r>
      <w:r w:rsidR="00833A7F" w:rsidRPr="00FF5965">
        <w:rPr>
          <w:rFonts w:cs="Arial"/>
        </w:rPr>
        <w:t xml:space="preserve">. </w:t>
      </w:r>
      <w:r w:rsidR="00454F53" w:rsidRPr="00FF5965">
        <w:rPr>
          <w:rFonts w:cs="Arial"/>
        </w:rPr>
        <w:t>Материальное обеспечение судей (оплата за работу) осуществляется за фактически отработанные дни. На подготовительном и заключительном этапе соревнований проживание, оплата работы главному судье, главному судье – секретарю, заместителю главного судьи и заместителю главного судьи – секретаря соответственно на 2 дня.</w:t>
      </w:r>
    </w:p>
    <w:p w:rsidR="00454F53" w:rsidRPr="00FF5965" w:rsidRDefault="00454F53" w:rsidP="00FF5965">
      <w:pPr>
        <w:ind w:firstLine="709"/>
        <w:rPr>
          <w:rFonts w:cs="Arial"/>
        </w:rPr>
      </w:pPr>
      <w:r w:rsidRPr="00FF5965">
        <w:rPr>
          <w:rFonts w:cs="Arial"/>
        </w:rPr>
        <w:t>Начальнику дистанции, заместителю начальника дистанции, коменданту, оператору ЭВМ оплата осуществляется на один день больше (до соревнований).</w:t>
      </w:r>
    </w:p>
    <w:p w:rsidR="00970A52" w:rsidRPr="00FF5965" w:rsidRDefault="00542ED9" w:rsidP="00FF5965">
      <w:pPr>
        <w:ind w:firstLine="709"/>
        <w:rPr>
          <w:rFonts w:cs="Arial"/>
        </w:rPr>
      </w:pPr>
      <w:r w:rsidRPr="00FF5965">
        <w:rPr>
          <w:rFonts w:cs="Arial"/>
        </w:rPr>
        <w:t>5</w:t>
      </w:r>
      <w:r w:rsidR="00454F53" w:rsidRPr="00FF5965">
        <w:rPr>
          <w:rFonts w:cs="Arial"/>
        </w:rPr>
        <w:t>. Количественный состав судейских коллегий (бригад) определяется правилами, положениями о проведении соревнований по видам спорта, уровнем соревнований.</w:t>
      </w:r>
    </w:p>
    <w:p w:rsidR="00DC28BE" w:rsidRPr="00FF5965" w:rsidRDefault="00DC28BE" w:rsidP="00FF5965">
      <w:pPr>
        <w:ind w:firstLine="709"/>
        <w:rPr>
          <w:rFonts w:cs="Arial"/>
        </w:rPr>
      </w:pPr>
      <w:r w:rsidRPr="00FF5965">
        <w:rPr>
          <w:rFonts w:cs="Arial"/>
        </w:rPr>
        <w:br w:type="page"/>
      </w:r>
    </w:p>
    <w:p w:rsidR="00FF5965" w:rsidRDefault="00542ED9" w:rsidP="00FF5965">
      <w:pPr>
        <w:pStyle w:val="a7"/>
        <w:ind w:left="5529"/>
        <w:jc w:val="both"/>
        <w:rPr>
          <w:rFonts w:ascii="Arial" w:hAnsi="Arial" w:cs="Arial"/>
          <w:sz w:val="24"/>
          <w:szCs w:val="24"/>
        </w:rPr>
      </w:pPr>
      <w:r w:rsidRPr="00FF5965">
        <w:rPr>
          <w:rFonts w:ascii="Arial" w:hAnsi="Arial" w:cs="Arial"/>
          <w:sz w:val="24"/>
          <w:szCs w:val="24"/>
        </w:rPr>
        <w:t>Приложение № 5</w:t>
      </w:r>
      <w:r w:rsidR="00DC28BE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к Порядку финансирования</w:t>
      </w:r>
      <w:r w:rsidR="004A166D" w:rsidRPr="00FF5965">
        <w:rPr>
          <w:rFonts w:ascii="Arial" w:hAnsi="Arial" w:cs="Arial"/>
          <w:sz w:val="24"/>
          <w:szCs w:val="24"/>
        </w:rPr>
        <w:t xml:space="preserve"> </w:t>
      </w:r>
      <w:r w:rsidR="00FF5965">
        <w:rPr>
          <w:rFonts w:ascii="Arial" w:hAnsi="Arial" w:cs="Arial"/>
          <w:sz w:val="24"/>
          <w:szCs w:val="24"/>
        </w:rPr>
        <w:t xml:space="preserve"> ф</w:t>
      </w:r>
      <w:r w:rsidRPr="00FF5965">
        <w:rPr>
          <w:rFonts w:ascii="Arial" w:hAnsi="Arial" w:cs="Arial"/>
          <w:sz w:val="24"/>
          <w:szCs w:val="24"/>
        </w:rPr>
        <w:t>зкультурных, спортивных</w:t>
      </w:r>
      <w:r w:rsidR="004A166D" w:rsidRPr="00FF5965">
        <w:rPr>
          <w:rFonts w:ascii="Arial" w:hAnsi="Arial" w:cs="Arial"/>
          <w:sz w:val="24"/>
          <w:szCs w:val="24"/>
        </w:rPr>
        <w:t xml:space="preserve"> </w:t>
      </w:r>
      <w:r w:rsidRPr="00FF5965">
        <w:rPr>
          <w:rFonts w:ascii="Arial" w:hAnsi="Arial" w:cs="Arial"/>
          <w:sz w:val="24"/>
          <w:szCs w:val="24"/>
        </w:rPr>
        <w:t>и культурно-массовых мероприятий</w:t>
      </w:r>
    </w:p>
    <w:p w:rsidR="00970A52" w:rsidRPr="00FF5965" w:rsidRDefault="00970A52" w:rsidP="00FF5965">
      <w:pPr>
        <w:ind w:firstLine="709"/>
        <w:rPr>
          <w:rFonts w:cs="Arial"/>
        </w:rPr>
      </w:pPr>
      <w:r w:rsidRPr="00FF5965">
        <w:rPr>
          <w:rFonts w:cs="Arial"/>
        </w:rPr>
        <w:t>Нормы расходов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на обеспечение фармакологическими, восстановительными средствами, витаминами и белково-глюкозными препаратами, медикаментами общего лечебного назначения и перевязочными материалами</w:t>
      </w:r>
      <w:r w:rsidR="00FF5965">
        <w:rPr>
          <w:rFonts w:cs="Arial"/>
        </w:rPr>
        <w:t xml:space="preserve"> </w:t>
      </w:r>
      <w:r w:rsidRPr="00FF5965">
        <w:rPr>
          <w:rFonts w:cs="Arial"/>
        </w:rPr>
        <w:t>участников спортивных мероприятий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6974"/>
        <w:gridCol w:w="2262"/>
      </w:tblGrid>
      <w:tr w:rsidR="00B3581F" w:rsidRPr="00FF5965" w:rsidTr="00B3581F">
        <w:tc>
          <w:tcPr>
            <w:tcW w:w="540" w:type="dxa"/>
          </w:tcPr>
          <w:p w:rsidR="000F337F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№ 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п/п</w:t>
            </w:r>
          </w:p>
        </w:tc>
        <w:tc>
          <w:tcPr>
            <w:tcW w:w="6974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Наименование спортивных мероприятий</w:t>
            </w:r>
          </w:p>
        </w:tc>
        <w:tc>
          <w:tcPr>
            <w:tcW w:w="2262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Норма расходов на одного человека в день</w:t>
            </w:r>
          </w:p>
        </w:tc>
      </w:tr>
      <w:tr w:rsidR="00B3581F" w:rsidRPr="00FF5965" w:rsidTr="00B3581F">
        <w:tc>
          <w:tcPr>
            <w:tcW w:w="540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1.</w:t>
            </w:r>
          </w:p>
        </w:tc>
        <w:tc>
          <w:tcPr>
            <w:tcW w:w="6974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Международные соревнования: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- по летним и зимним олимпийским видам спорта основного состава;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- по неолимпийским в</w:t>
            </w:r>
            <w:r w:rsidR="000F337F" w:rsidRPr="00FF5965">
              <w:rPr>
                <w:rFonts w:cs="Arial"/>
              </w:rPr>
              <w:t xml:space="preserve">идам спорта, олимпийским видам </w:t>
            </w:r>
            <w:r w:rsidRPr="00FF5965">
              <w:rPr>
                <w:rFonts w:cs="Arial"/>
              </w:rPr>
              <w:t>молодежного (резервного) состава и видам спорта, входящим в программу Паралимпийских и Сурдлимпийских игр.</w:t>
            </w:r>
          </w:p>
        </w:tc>
        <w:tc>
          <w:tcPr>
            <w:tcW w:w="2262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</w:p>
          <w:p w:rsid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30</w:t>
            </w:r>
            <w:r w:rsidR="000F337F" w:rsidRPr="00FF5965">
              <w:rPr>
                <w:rFonts w:cs="Arial"/>
              </w:rPr>
              <w:t>0</w:t>
            </w:r>
            <w:r w:rsidR="00542ED9" w:rsidRPr="00FF5965">
              <w:rPr>
                <w:rFonts w:cs="Arial"/>
              </w:rPr>
              <w:t>,00 руб.</w:t>
            </w:r>
          </w:p>
          <w:p w:rsidR="00970A52" w:rsidRP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25</w:t>
            </w:r>
            <w:r w:rsidR="000F337F" w:rsidRPr="00FF5965">
              <w:rPr>
                <w:rFonts w:cs="Arial"/>
              </w:rPr>
              <w:t>0</w:t>
            </w:r>
            <w:r w:rsidR="00542ED9" w:rsidRPr="00FF5965">
              <w:rPr>
                <w:rFonts w:cs="Arial"/>
              </w:rPr>
              <w:t>,00 руб.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</w:p>
        </w:tc>
      </w:tr>
      <w:tr w:rsidR="00B3581F" w:rsidRPr="00FF5965" w:rsidTr="00B3581F">
        <w:tc>
          <w:tcPr>
            <w:tcW w:w="540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2.</w:t>
            </w:r>
          </w:p>
        </w:tc>
        <w:tc>
          <w:tcPr>
            <w:tcW w:w="6974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Учебно-тренировочные сборы: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- по летним и зимним олимпийским видам спорта основного состава;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- по летним и зимним олимпийским видам спорта молодёжного (резервного) состава и видам спорта, входя</w:t>
            </w:r>
            <w:r w:rsidR="000F337F" w:rsidRPr="00FF5965">
              <w:rPr>
                <w:rFonts w:cs="Arial"/>
              </w:rPr>
              <w:t xml:space="preserve">щим в программу Паралимпийских </w:t>
            </w:r>
            <w:r w:rsidRPr="00FF5965">
              <w:rPr>
                <w:rFonts w:cs="Arial"/>
              </w:rPr>
              <w:t>и Сурдлимпийских игр;</w:t>
            </w:r>
          </w:p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-</w:t>
            </w:r>
            <w:r w:rsidR="00FF5965">
              <w:rPr>
                <w:rFonts w:cs="Arial"/>
              </w:rPr>
              <w:t xml:space="preserve"> </w:t>
            </w:r>
            <w:r w:rsidRPr="00FF5965">
              <w:rPr>
                <w:rFonts w:cs="Arial"/>
              </w:rPr>
              <w:t>по неолимпийским видам спорта и видам с</w:t>
            </w:r>
            <w:r w:rsidR="000F337F" w:rsidRPr="00FF5965">
              <w:rPr>
                <w:rFonts w:cs="Arial"/>
              </w:rPr>
              <w:t xml:space="preserve">порта, не входящих в программу </w:t>
            </w:r>
            <w:r w:rsidRPr="00FF5965">
              <w:rPr>
                <w:rFonts w:cs="Arial"/>
              </w:rPr>
              <w:t>Паралимпийских и Сурдлимпийских игр.</w:t>
            </w:r>
          </w:p>
        </w:tc>
        <w:tc>
          <w:tcPr>
            <w:tcW w:w="2262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</w:p>
          <w:p w:rsid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650</w:t>
            </w:r>
            <w:r w:rsidR="00542ED9" w:rsidRPr="00FF5965">
              <w:rPr>
                <w:rFonts w:cs="Arial"/>
              </w:rPr>
              <w:t>,00 руб.</w:t>
            </w:r>
          </w:p>
          <w:p w:rsid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550</w:t>
            </w:r>
            <w:r w:rsidR="00542ED9" w:rsidRPr="00FF5965">
              <w:rPr>
                <w:rFonts w:cs="Arial"/>
              </w:rPr>
              <w:t>,00 руб.</w:t>
            </w:r>
          </w:p>
          <w:p w:rsidR="00FF5965" w:rsidRDefault="00FF5965" w:rsidP="00FF5965">
            <w:pPr>
              <w:ind w:firstLine="0"/>
              <w:rPr>
                <w:rFonts w:cs="Arial"/>
              </w:rPr>
            </w:pPr>
          </w:p>
          <w:p w:rsidR="00970A52" w:rsidRP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970A52" w:rsidRPr="00FF5965">
              <w:rPr>
                <w:rFonts w:cs="Arial"/>
              </w:rPr>
              <w:t>321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3581F" w:rsidRPr="00FF5965" w:rsidTr="00B3581F">
        <w:tc>
          <w:tcPr>
            <w:tcW w:w="540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3.</w:t>
            </w:r>
          </w:p>
        </w:tc>
        <w:tc>
          <w:tcPr>
            <w:tcW w:w="6974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Областные сорев</w:t>
            </w:r>
            <w:r w:rsidR="000F337F" w:rsidRPr="00FF5965">
              <w:rPr>
                <w:rFonts w:cs="Arial"/>
              </w:rPr>
              <w:t xml:space="preserve">нования и учебно-тренировочные </w:t>
            </w:r>
            <w:r w:rsidRPr="00FF5965">
              <w:rPr>
                <w:rFonts w:cs="Arial"/>
              </w:rPr>
              <w:t>сборы</w:t>
            </w:r>
          </w:p>
        </w:tc>
        <w:tc>
          <w:tcPr>
            <w:tcW w:w="2262" w:type="dxa"/>
          </w:tcPr>
          <w:p w:rsidR="00970A52" w:rsidRP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150</w:t>
            </w:r>
            <w:r w:rsidR="00542ED9" w:rsidRPr="00FF5965">
              <w:rPr>
                <w:rFonts w:cs="Arial"/>
              </w:rPr>
              <w:t>,00 руб.</w:t>
            </w:r>
          </w:p>
        </w:tc>
      </w:tr>
      <w:tr w:rsidR="00B3581F" w:rsidRPr="00FF5965" w:rsidTr="00B3581F">
        <w:tc>
          <w:tcPr>
            <w:tcW w:w="540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4.</w:t>
            </w:r>
          </w:p>
        </w:tc>
        <w:tc>
          <w:tcPr>
            <w:tcW w:w="6974" w:type="dxa"/>
          </w:tcPr>
          <w:p w:rsidR="00970A52" w:rsidRPr="00FF5965" w:rsidRDefault="00970A52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>Районные соревнования и учебно-тренировочные сборы</w:t>
            </w:r>
          </w:p>
        </w:tc>
        <w:tc>
          <w:tcPr>
            <w:tcW w:w="2262" w:type="dxa"/>
          </w:tcPr>
          <w:p w:rsidR="00970A52" w:rsidRPr="00FF5965" w:rsidRDefault="007B2D3F" w:rsidP="00FF5965">
            <w:pPr>
              <w:ind w:firstLine="0"/>
              <w:rPr>
                <w:rFonts w:cs="Arial"/>
              </w:rPr>
            </w:pPr>
            <w:r w:rsidRPr="00FF5965">
              <w:rPr>
                <w:rFonts w:cs="Arial"/>
              </w:rPr>
              <w:t xml:space="preserve">до </w:t>
            </w:r>
            <w:r w:rsidR="00B3581F" w:rsidRPr="00FF5965">
              <w:rPr>
                <w:rFonts w:cs="Arial"/>
              </w:rPr>
              <w:t>150</w:t>
            </w:r>
            <w:r w:rsidR="00542ED9" w:rsidRPr="00FF5965">
              <w:rPr>
                <w:rFonts w:cs="Arial"/>
              </w:rPr>
              <w:t>,00 руб.</w:t>
            </w:r>
          </w:p>
        </w:tc>
      </w:tr>
    </w:tbl>
    <w:p w:rsidR="00970A52" w:rsidRPr="00FF5965" w:rsidRDefault="00970A52" w:rsidP="00FF5965">
      <w:pPr>
        <w:ind w:firstLine="709"/>
        <w:rPr>
          <w:rFonts w:cs="Arial"/>
        </w:rPr>
      </w:pPr>
    </w:p>
    <w:p w:rsidR="00B3581F" w:rsidRPr="00FF5965" w:rsidRDefault="00970A52" w:rsidP="00FF5965">
      <w:pPr>
        <w:ind w:firstLine="709"/>
        <w:rPr>
          <w:rFonts w:cs="Arial"/>
        </w:rPr>
      </w:pPr>
      <w:r w:rsidRPr="00FF5965">
        <w:rPr>
          <w:rFonts w:cs="Arial"/>
        </w:rPr>
        <w:t>Примечание: при подготовке членов сборных команд к официальным соревнованиям обеспечение медикаментами может осуществляться согласно индивиду</w:t>
      </w:r>
      <w:r w:rsidR="000F337F" w:rsidRPr="00FF5965">
        <w:rPr>
          <w:rFonts w:cs="Arial"/>
        </w:rPr>
        <w:t xml:space="preserve">альным планам-графикам </w:t>
      </w:r>
      <w:r w:rsidRPr="00FF5965">
        <w:rPr>
          <w:rFonts w:cs="Arial"/>
        </w:rPr>
        <w:t>фармакологического обеспечения по отдельным приказам.</w:t>
      </w:r>
    </w:p>
    <w:sectPr w:rsidR="00B3581F" w:rsidRPr="00FF5965" w:rsidSect="00FF5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21" w:rsidRDefault="00835E21" w:rsidP="00FF5965">
      <w:r>
        <w:separator/>
      </w:r>
    </w:p>
  </w:endnote>
  <w:endnote w:type="continuationSeparator" w:id="0">
    <w:p w:rsidR="00835E21" w:rsidRDefault="00835E21" w:rsidP="00F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65" w:rsidRDefault="00FF59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65" w:rsidRDefault="00FF596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65" w:rsidRDefault="00FF59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21" w:rsidRDefault="00835E21" w:rsidP="00FF5965">
      <w:r>
        <w:separator/>
      </w:r>
    </w:p>
  </w:footnote>
  <w:footnote w:type="continuationSeparator" w:id="0">
    <w:p w:rsidR="00835E21" w:rsidRDefault="00835E21" w:rsidP="00FF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65" w:rsidRDefault="00FF59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7" w:rsidRDefault="002F1947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F1947" w:rsidRDefault="002F1947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F1947" w:rsidRDefault="002F1947">
    <w:pPr>
      <w:pStyle w:val="ab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2F1947" w:rsidRDefault="002F1947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20.07.2022 15:08:16</w:t>
    </w:r>
  </w:p>
  <w:p w:rsidR="00FF5965" w:rsidRPr="002F1947" w:rsidRDefault="00FF5965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65" w:rsidRDefault="00FF59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CDD"/>
    <w:multiLevelType w:val="hybridMultilevel"/>
    <w:tmpl w:val="B31833F6"/>
    <w:lvl w:ilvl="0" w:tplc="F6801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3026C"/>
    <w:multiLevelType w:val="hybridMultilevel"/>
    <w:tmpl w:val="13AC0C2C"/>
    <w:lvl w:ilvl="0" w:tplc="16DC4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25ECD"/>
    <w:multiLevelType w:val="hybridMultilevel"/>
    <w:tmpl w:val="93941BCC"/>
    <w:lvl w:ilvl="0" w:tplc="161A4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177B8"/>
    <w:multiLevelType w:val="hybridMultilevel"/>
    <w:tmpl w:val="E1BC7B08"/>
    <w:lvl w:ilvl="0" w:tplc="EC806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E"/>
    <w:rsid w:val="0000483D"/>
    <w:rsid w:val="000167EA"/>
    <w:rsid w:val="00025B91"/>
    <w:rsid w:val="00033397"/>
    <w:rsid w:val="000363F5"/>
    <w:rsid w:val="000467AB"/>
    <w:rsid w:val="000F337F"/>
    <w:rsid w:val="001710D7"/>
    <w:rsid w:val="001742DF"/>
    <w:rsid w:val="0021574C"/>
    <w:rsid w:val="002F1947"/>
    <w:rsid w:val="002F26A9"/>
    <w:rsid w:val="003318A7"/>
    <w:rsid w:val="00344AFB"/>
    <w:rsid w:val="003972DF"/>
    <w:rsid w:val="003E607C"/>
    <w:rsid w:val="004206AB"/>
    <w:rsid w:val="0042548A"/>
    <w:rsid w:val="00454F53"/>
    <w:rsid w:val="004A166D"/>
    <w:rsid w:val="004A192E"/>
    <w:rsid w:val="004D0084"/>
    <w:rsid w:val="004E15DD"/>
    <w:rsid w:val="004F3800"/>
    <w:rsid w:val="0051216B"/>
    <w:rsid w:val="00542ED9"/>
    <w:rsid w:val="0055061D"/>
    <w:rsid w:val="005A7729"/>
    <w:rsid w:val="00623EDD"/>
    <w:rsid w:val="00644331"/>
    <w:rsid w:val="006C3556"/>
    <w:rsid w:val="006C5CC4"/>
    <w:rsid w:val="00744E7F"/>
    <w:rsid w:val="007549C5"/>
    <w:rsid w:val="007B2D3F"/>
    <w:rsid w:val="007B5A5D"/>
    <w:rsid w:val="00833A7F"/>
    <w:rsid w:val="00835E21"/>
    <w:rsid w:val="008517C8"/>
    <w:rsid w:val="00884CDE"/>
    <w:rsid w:val="008927FB"/>
    <w:rsid w:val="008938BC"/>
    <w:rsid w:val="008A4AD1"/>
    <w:rsid w:val="008B5BD0"/>
    <w:rsid w:val="008B5FC2"/>
    <w:rsid w:val="009248BD"/>
    <w:rsid w:val="00970A52"/>
    <w:rsid w:val="0097631C"/>
    <w:rsid w:val="009D3956"/>
    <w:rsid w:val="00A545B6"/>
    <w:rsid w:val="00A72D8E"/>
    <w:rsid w:val="00AE3018"/>
    <w:rsid w:val="00B249BB"/>
    <w:rsid w:val="00B3581F"/>
    <w:rsid w:val="00B41BE2"/>
    <w:rsid w:val="00B4473C"/>
    <w:rsid w:val="00B44D55"/>
    <w:rsid w:val="00B902F9"/>
    <w:rsid w:val="00B96926"/>
    <w:rsid w:val="00BA3024"/>
    <w:rsid w:val="00BB4E24"/>
    <w:rsid w:val="00BF1A78"/>
    <w:rsid w:val="00BF6703"/>
    <w:rsid w:val="00C04D6D"/>
    <w:rsid w:val="00C068CD"/>
    <w:rsid w:val="00C120F8"/>
    <w:rsid w:val="00C22E41"/>
    <w:rsid w:val="00CA7DF0"/>
    <w:rsid w:val="00CC1B1F"/>
    <w:rsid w:val="00CD70C1"/>
    <w:rsid w:val="00D46F12"/>
    <w:rsid w:val="00DA3063"/>
    <w:rsid w:val="00DC28BE"/>
    <w:rsid w:val="00E03C30"/>
    <w:rsid w:val="00E6326A"/>
    <w:rsid w:val="00E748D1"/>
    <w:rsid w:val="00E9510B"/>
    <w:rsid w:val="00EA3B60"/>
    <w:rsid w:val="00EC072B"/>
    <w:rsid w:val="00F34619"/>
    <w:rsid w:val="00F41F6C"/>
    <w:rsid w:val="00FC17AE"/>
    <w:rsid w:val="00FF02A3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E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E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35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5E21"/>
  </w:style>
  <w:style w:type="paragraph" w:customStyle="1" w:styleId="11">
    <w:name w:val="Абзац списка1"/>
    <w:basedOn w:val="a"/>
    <w:rsid w:val="00BF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3556"/>
    <w:pPr>
      <w:ind w:left="720"/>
      <w:contextualSpacing/>
    </w:pPr>
  </w:style>
  <w:style w:type="table" w:styleId="a4">
    <w:name w:val="Table Grid"/>
    <w:basedOn w:val="a1"/>
    <w:uiPriority w:val="39"/>
    <w:rsid w:val="00E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C1B1F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A545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710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473C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FF59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F59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59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F596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5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E2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FF59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35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35E21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FF5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596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F59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F596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E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E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E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35E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5E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E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E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35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5E21"/>
  </w:style>
  <w:style w:type="paragraph" w:customStyle="1" w:styleId="11">
    <w:name w:val="Абзац списка1"/>
    <w:basedOn w:val="a"/>
    <w:rsid w:val="00BF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3556"/>
    <w:pPr>
      <w:ind w:left="720"/>
      <w:contextualSpacing/>
    </w:pPr>
  </w:style>
  <w:style w:type="table" w:styleId="a4">
    <w:name w:val="Table Grid"/>
    <w:basedOn w:val="a1"/>
    <w:uiPriority w:val="39"/>
    <w:rsid w:val="00E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C1B1F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A545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710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473C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FF59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F59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59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F596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5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E2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FF59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35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35E21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FF5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596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F59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F596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E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E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E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35E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5E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C538-6766-4E97-9737-62FBB709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2022-07-15T08:16:00Z</cp:lastPrinted>
  <dcterms:created xsi:type="dcterms:W3CDTF">2022-08-05T05:49:00Z</dcterms:created>
  <dcterms:modified xsi:type="dcterms:W3CDTF">2022-08-05T05:49:00Z</dcterms:modified>
</cp:coreProperties>
</file>